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5CB5E" w14:textId="77777777" w:rsidR="00080A26" w:rsidRPr="006B6B06" w:rsidRDefault="00EB41D1" w:rsidP="006B6B06">
      <w:pPr>
        <w:spacing w:after="40"/>
        <w:rPr>
          <w:rFonts w:ascii="Calibri" w:hAnsi="Calibri" w:cs="Calibri"/>
        </w:rPr>
      </w:pPr>
      <w:r w:rsidRPr="006B6B06">
        <w:rPr>
          <w:rFonts w:ascii="Calibri" w:hAnsi="Calibri" w:cs="Calibri"/>
          <w:b/>
          <w:bCs/>
        </w:rPr>
        <w:t>Risk Factors — Shriram Overnight Fund</w:t>
      </w:r>
    </w:p>
    <w:p w14:paraId="7A35CB62" w14:textId="14708812" w:rsidR="00080A26" w:rsidRPr="006B6B06" w:rsidRDefault="00EB41D1">
      <w:pPr>
        <w:pStyle w:val="Heading1"/>
        <w:spacing w:before="240" w:after="120"/>
        <w:rPr>
          <w:rFonts w:ascii="Calibri" w:hAnsi="Calibri" w:cs="Calibri"/>
          <w:sz w:val="20"/>
          <w:szCs w:val="20"/>
        </w:rPr>
      </w:pPr>
      <w:r w:rsidRPr="006B6B06">
        <w:rPr>
          <w:rFonts w:ascii="Calibri" w:hAnsi="Calibri" w:cs="Calibri"/>
          <w:sz w:val="20"/>
          <w:szCs w:val="20"/>
        </w:rPr>
        <w:t xml:space="preserve">Section A — Summary Risk Factors </w:t>
      </w:r>
    </w:p>
    <w:p w14:paraId="7A35CB64" w14:textId="77777777" w:rsidR="00080A26" w:rsidRPr="006B6B06" w:rsidRDefault="00EB41D1">
      <w:pPr>
        <w:pStyle w:val="ListParagraph"/>
        <w:numPr>
          <w:ilvl w:val="0"/>
          <w:numId w:val="2"/>
        </w:numPr>
        <w:spacing w:after="120"/>
        <w:rPr>
          <w:rFonts w:ascii="Calibri" w:hAnsi="Calibri" w:cs="Calibri"/>
        </w:rPr>
      </w:pPr>
      <w:r w:rsidRPr="006B6B06">
        <w:rPr>
          <w:rFonts w:ascii="Calibri" w:hAnsi="Calibri" w:cs="Calibri"/>
          <w:b/>
          <w:bCs/>
        </w:rPr>
        <w:t xml:space="preserve">Interest Rate Risk: </w:t>
      </w:r>
      <w:r w:rsidRPr="006B6B06">
        <w:rPr>
          <w:rFonts w:ascii="Calibri" w:hAnsi="Calibri" w:cs="Calibri"/>
        </w:rPr>
        <w:t>Changes in interest rates may affect the value of debt and money-market securities.</w:t>
      </w:r>
    </w:p>
    <w:p w14:paraId="7A35CB65" w14:textId="77777777" w:rsidR="00080A26" w:rsidRPr="006B6B06" w:rsidRDefault="00EB41D1">
      <w:pPr>
        <w:pStyle w:val="ListParagraph"/>
        <w:numPr>
          <w:ilvl w:val="0"/>
          <w:numId w:val="2"/>
        </w:numPr>
        <w:spacing w:after="120"/>
        <w:rPr>
          <w:rFonts w:ascii="Calibri" w:hAnsi="Calibri" w:cs="Calibri"/>
        </w:rPr>
      </w:pPr>
      <w:r w:rsidRPr="006B6B06">
        <w:rPr>
          <w:rFonts w:ascii="Calibri" w:hAnsi="Calibri" w:cs="Calibri"/>
          <w:b/>
          <w:bCs/>
        </w:rPr>
        <w:t xml:space="preserve">Credit Risk: </w:t>
      </w:r>
      <w:r w:rsidRPr="006B6B06">
        <w:rPr>
          <w:rFonts w:ascii="Calibri" w:hAnsi="Calibri" w:cs="Calibri"/>
        </w:rPr>
        <w:t>Securities are subject to issuer default, downgrade and deterioration in credit quality.</w:t>
      </w:r>
    </w:p>
    <w:p w14:paraId="7A35CB66" w14:textId="77777777" w:rsidR="00080A26" w:rsidRPr="006B6B06" w:rsidRDefault="00EB41D1">
      <w:pPr>
        <w:pStyle w:val="ListParagraph"/>
        <w:numPr>
          <w:ilvl w:val="0"/>
          <w:numId w:val="2"/>
        </w:numPr>
        <w:spacing w:after="120"/>
        <w:rPr>
          <w:rFonts w:ascii="Calibri" w:hAnsi="Calibri" w:cs="Calibri"/>
        </w:rPr>
      </w:pPr>
      <w:r w:rsidRPr="006B6B06">
        <w:rPr>
          <w:rFonts w:ascii="Calibri" w:hAnsi="Calibri" w:cs="Calibri"/>
          <w:b/>
          <w:bCs/>
        </w:rPr>
        <w:t xml:space="preserve">Liquidity Risk: </w:t>
      </w:r>
      <w:r w:rsidRPr="006B6B06">
        <w:rPr>
          <w:rFonts w:ascii="Calibri" w:hAnsi="Calibri" w:cs="Calibri"/>
        </w:rPr>
        <w:t>Securities may face liquidity constraints during stressed market conditions.</w:t>
      </w:r>
    </w:p>
    <w:p w14:paraId="7A35CB67" w14:textId="77777777" w:rsidR="00080A26" w:rsidRPr="006B6B06" w:rsidRDefault="00EB41D1">
      <w:pPr>
        <w:pStyle w:val="ListParagraph"/>
        <w:numPr>
          <w:ilvl w:val="0"/>
          <w:numId w:val="2"/>
        </w:numPr>
        <w:spacing w:after="120"/>
        <w:rPr>
          <w:rFonts w:ascii="Calibri" w:hAnsi="Calibri" w:cs="Calibri"/>
        </w:rPr>
      </w:pPr>
      <w:r w:rsidRPr="006B6B06">
        <w:rPr>
          <w:rFonts w:ascii="Calibri" w:hAnsi="Calibri" w:cs="Calibri"/>
          <w:b/>
          <w:bCs/>
        </w:rPr>
        <w:t xml:space="preserve">Reinvestment Risk: </w:t>
      </w:r>
      <w:r w:rsidRPr="006B6B06">
        <w:rPr>
          <w:rFonts w:ascii="Calibri" w:hAnsi="Calibri" w:cs="Calibri"/>
        </w:rPr>
        <w:t>Maturity proceeds may be reinvested at lower prevailing interest rates.</w:t>
      </w:r>
    </w:p>
    <w:p w14:paraId="7A35CB68" w14:textId="77777777" w:rsidR="00080A26" w:rsidRPr="006B6B06" w:rsidRDefault="00EB41D1">
      <w:pPr>
        <w:pStyle w:val="ListParagraph"/>
        <w:numPr>
          <w:ilvl w:val="0"/>
          <w:numId w:val="2"/>
        </w:numPr>
        <w:spacing w:after="120"/>
        <w:rPr>
          <w:rFonts w:ascii="Calibri" w:hAnsi="Calibri" w:cs="Calibri"/>
        </w:rPr>
      </w:pPr>
      <w:r w:rsidRPr="006B6B06">
        <w:rPr>
          <w:rFonts w:ascii="Calibri" w:hAnsi="Calibri" w:cs="Calibri"/>
          <w:b/>
          <w:bCs/>
        </w:rPr>
        <w:t xml:space="preserve">Market/Price Risk: </w:t>
      </w:r>
      <w:r w:rsidRPr="006B6B06">
        <w:rPr>
          <w:rFonts w:ascii="Calibri" w:hAnsi="Calibri" w:cs="Calibri"/>
        </w:rPr>
        <w:t>Changes in market interest rates and liquidity conditions may affect security prices and NAV.</w:t>
      </w:r>
    </w:p>
    <w:p w14:paraId="7A35CB69" w14:textId="77777777" w:rsidR="00080A26" w:rsidRPr="006B6B06" w:rsidRDefault="00EB41D1">
      <w:pPr>
        <w:pStyle w:val="ListParagraph"/>
        <w:numPr>
          <w:ilvl w:val="0"/>
          <w:numId w:val="2"/>
        </w:numPr>
        <w:spacing w:after="120"/>
        <w:rPr>
          <w:rFonts w:ascii="Calibri" w:hAnsi="Calibri" w:cs="Calibri"/>
        </w:rPr>
      </w:pPr>
      <w:r w:rsidRPr="006B6B06">
        <w:rPr>
          <w:rFonts w:ascii="Calibri" w:hAnsi="Calibri" w:cs="Calibri"/>
          <w:b/>
          <w:bCs/>
        </w:rPr>
        <w:t xml:space="preserve">Counterparty Risk: </w:t>
      </w:r>
      <w:r w:rsidRPr="006B6B06">
        <w:rPr>
          <w:rFonts w:ascii="Calibri" w:hAnsi="Calibri" w:cs="Calibri"/>
        </w:rPr>
        <w:t>The Scheme may be exposed to counterparty default in transactions.</w:t>
      </w:r>
    </w:p>
    <w:p w14:paraId="7A35CB6A" w14:textId="77777777" w:rsidR="00080A26" w:rsidRPr="006B6B06" w:rsidRDefault="00EB41D1">
      <w:pPr>
        <w:pStyle w:val="ListParagraph"/>
        <w:numPr>
          <w:ilvl w:val="0"/>
          <w:numId w:val="2"/>
        </w:numPr>
        <w:spacing w:after="120"/>
        <w:rPr>
          <w:rFonts w:ascii="Calibri" w:hAnsi="Calibri" w:cs="Calibri"/>
        </w:rPr>
      </w:pPr>
      <w:r w:rsidRPr="006B6B06">
        <w:rPr>
          <w:rFonts w:ascii="Calibri" w:hAnsi="Calibri" w:cs="Calibri"/>
          <w:b/>
          <w:bCs/>
        </w:rPr>
        <w:t xml:space="preserve">Settlement Risk: </w:t>
      </w:r>
      <w:r w:rsidRPr="006B6B06">
        <w:rPr>
          <w:rFonts w:ascii="Calibri" w:hAnsi="Calibri" w:cs="Calibri"/>
        </w:rPr>
        <w:t>Failure or delay in settlement of transactions may adversely affect the Scheme.</w:t>
      </w:r>
    </w:p>
    <w:p w14:paraId="7A35CB6C" w14:textId="1B766314" w:rsidR="00080A26" w:rsidRPr="006B6B06" w:rsidRDefault="00EB41D1" w:rsidP="00B33DAE">
      <w:pPr>
        <w:pStyle w:val="Heading1"/>
        <w:spacing w:before="240" w:after="120"/>
        <w:rPr>
          <w:rFonts w:ascii="Calibri" w:hAnsi="Calibri" w:cs="Calibri"/>
          <w:sz w:val="20"/>
          <w:szCs w:val="20"/>
        </w:rPr>
      </w:pPr>
      <w:r w:rsidRPr="006B6B06">
        <w:rPr>
          <w:rFonts w:ascii="Calibri" w:hAnsi="Calibri" w:cs="Calibri"/>
          <w:sz w:val="20"/>
          <w:szCs w:val="20"/>
        </w:rPr>
        <w:t>Section B — Detailed Risk Factors</w:t>
      </w:r>
    </w:p>
    <w:p w14:paraId="7A35CB6D" w14:textId="77777777" w:rsidR="00080A26" w:rsidRPr="006B6B06" w:rsidRDefault="00EB41D1">
      <w:pPr>
        <w:spacing w:before="160" w:after="100"/>
        <w:rPr>
          <w:rFonts w:ascii="Calibri" w:hAnsi="Calibri" w:cs="Calibri"/>
        </w:rPr>
      </w:pPr>
      <w:r w:rsidRPr="006B6B06">
        <w:rPr>
          <w:rFonts w:ascii="Calibri" w:hAnsi="Calibri" w:cs="Calibri"/>
          <w:b/>
          <w:bCs/>
          <w:i/>
          <w:iCs/>
        </w:rPr>
        <w:t>Scheme Specific Risk Factors</w:t>
      </w:r>
    </w:p>
    <w:p w14:paraId="7A35CB6E" w14:textId="77777777" w:rsidR="00080A26" w:rsidRPr="006B6B06" w:rsidRDefault="00EB41D1">
      <w:pPr>
        <w:spacing w:after="160"/>
        <w:rPr>
          <w:rFonts w:ascii="Calibri" w:hAnsi="Calibri" w:cs="Calibri"/>
        </w:rPr>
      </w:pPr>
      <w:r w:rsidRPr="006B6B06">
        <w:rPr>
          <w:rFonts w:ascii="Calibri" w:hAnsi="Calibri" w:cs="Calibri"/>
        </w:rPr>
        <w:t>Some of the specific risk factors related to the scheme include but are not limited to the following:</w:t>
      </w:r>
    </w:p>
    <w:p w14:paraId="7A35CB6F" w14:textId="77777777" w:rsidR="00080A26" w:rsidRPr="006B6B06" w:rsidRDefault="00EB41D1">
      <w:pPr>
        <w:spacing w:before="200" w:after="100"/>
        <w:rPr>
          <w:rFonts w:ascii="Calibri" w:hAnsi="Calibri" w:cs="Calibri"/>
        </w:rPr>
      </w:pPr>
      <w:r w:rsidRPr="006B6B06">
        <w:rPr>
          <w:rFonts w:ascii="Calibri" w:hAnsi="Calibri" w:cs="Calibri"/>
          <w:b/>
          <w:bCs/>
          <w:i/>
          <w:iCs/>
        </w:rPr>
        <w:t>i. Interest Rate Risk</w:t>
      </w:r>
    </w:p>
    <w:p w14:paraId="7A35CB70" w14:textId="77777777" w:rsidR="00080A26" w:rsidRPr="006B6B06" w:rsidRDefault="00EB41D1">
      <w:pPr>
        <w:spacing w:after="160"/>
        <w:rPr>
          <w:rFonts w:ascii="Calibri" w:hAnsi="Calibri" w:cs="Calibri"/>
        </w:rPr>
      </w:pPr>
      <w:r w:rsidRPr="006B6B06">
        <w:rPr>
          <w:rFonts w:ascii="Calibri" w:hAnsi="Calibri" w:cs="Calibri"/>
        </w:rPr>
        <w:t>From the perspective of coupon rates, debt securities can be classified in two categories, i.e., Fixed coupon bearing securities and Floating coupon bearing securities. In Fixed coupon bearing securities, the coupon rate is determined at the time of investment and paid/received at the predetermined frequency. In floating coupon bearing securities, the coupon rate changes – ‘floats’ – with the underlying benchmark rate, e.g., MIBOR, 1 yr. Treasury bill.</w:t>
      </w:r>
    </w:p>
    <w:p w14:paraId="7A35CB71" w14:textId="77777777" w:rsidR="00080A26" w:rsidRPr="006B6B06" w:rsidRDefault="00EB41D1">
      <w:pPr>
        <w:spacing w:after="160"/>
        <w:rPr>
          <w:rFonts w:ascii="Calibri" w:hAnsi="Calibri" w:cs="Calibri"/>
        </w:rPr>
      </w:pPr>
      <w:r w:rsidRPr="006B6B06">
        <w:rPr>
          <w:rFonts w:ascii="Calibri" w:hAnsi="Calibri" w:cs="Calibri"/>
        </w:rPr>
        <w:t>Fixed income securities such as bonds, debentures and money market instruments run price-risk or interest-rate risk. Generally, when interest rates rise, prices of existing fixed income securities fall and when interest rates drop, such prices increase. The extent of fall or rise in the prices is a function of the existing coupon, days to maturity and the increase or decrease in the level of interest rates. Prices of Government Securities (existing and new) are influenced only by movement in interest rates in the financial system and liquidity, whereas prices of corporate or institutional fixed income securities are influenced not only by interest rate changes but also by credit rating of the security and its liquidity.</w:t>
      </w:r>
    </w:p>
    <w:p w14:paraId="7A35CB72" w14:textId="77777777" w:rsidR="00080A26" w:rsidRPr="006B6B06" w:rsidRDefault="00EB41D1">
      <w:pPr>
        <w:spacing w:before="200" w:after="100"/>
        <w:rPr>
          <w:rFonts w:ascii="Calibri" w:hAnsi="Calibri" w:cs="Calibri"/>
        </w:rPr>
      </w:pPr>
      <w:r w:rsidRPr="006B6B06">
        <w:rPr>
          <w:rFonts w:ascii="Calibri" w:hAnsi="Calibri" w:cs="Calibri"/>
          <w:b/>
          <w:bCs/>
          <w:i/>
          <w:iCs/>
        </w:rPr>
        <w:t>ii. Liquidity or Marketability Risk</w:t>
      </w:r>
    </w:p>
    <w:p w14:paraId="7A35CB73" w14:textId="77777777" w:rsidR="00080A26" w:rsidRPr="006B6B06" w:rsidRDefault="00EB41D1">
      <w:pPr>
        <w:spacing w:after="160"/>
        <w:rPr>
          <w:rFonts w:ascii="Calibri" w:hAnsi="Calibri" w:cs="Calibri"/>
        </w:rPr>
      </w:pPr>
      <w:r w:rsidRPr="006B6B06">
        <w:rPr>
          <w:rFonts w:ascii="Calibri" w:hAnsi="Calibri" w:cs="Calibri"/>
        </w:rPr>
        <w:t>This refers to the ease at which a security can be sold at or near its true value. The primary measure of liquidity risk is the spread between the bid price and the offer price quoted by a dealer. Liquidity risk is characteristic of the Indian fixed income market. Trading volumes, settlement periods and transfer procedures may restrict the liquidity of some of these investments. Different segments of the Indian financial markets have different settlement periods, and such periods may be extended significantly by unforeseen circumstances. The length of time for settlement may affect the Scheme in the event it has to meet an inordinately large number of redemptions or of restructuring of the Scheme’s investment portfolio.</w:t>
      </w:r>
    </w:p>
    <w:p w14:paraId="7A35CB74" w14:textId="77777777" w:rsidR="00080A26" w:rsidRPr="006B6B06" w:rsidRDefault="00EB41D1">
      <w:pPr>
        <w:spacing w:before="200" w:after="100"/>
        <w:rPr>
          <w:rFonts w:ascii="Calibri" w:hAnsi="Calibri" w:cs="Calibri"/>
        </w:rPr>
      </w:pPr>
      <w:r w:rsidRPr="006B6B06">
        <w:rPr>
          <w:rFonts w:ascii="Calibri" w:hAnsi="Calibri" w:cs="Calibri"/>
          <w:b/>
          <w:bCs/>
          <w:i/>
          <w:iCs/>
        </w:rPr>
        <w:t>iii. Credit Risk</w:t>
      </w:r>
    </w:p>
    <w:p w14:paraId="7A35CB75" w14:textId="77777777" w:rsidR="00080A26" w:rsidRPr="006B6B06" w:rsidRDefault="00EB41D1">
      <w:pPr>
        <w:spacing w:after="160"/>
        <w:rPr>
          <w:rFonts w:ascii="Calibri" w:hAnsi="Calibri" w:cs="Calibri"/>
        </w:rPr>
      </w:pPr>
      <w:r w:rsidRPr="006B6B06">
        <w:rPr>
          <w:rFonts w:ascii="Calibri" w:hAnsi="Calibri" w:cs="Calibri"/>
        </w:rPr>
        <w:t>Credit risk comprises three components.</w:t>
      </w:r>
    </w:p>
    <w:p w14:paraId="7A35CB76" w14:textId="77777777" w:rsidR="00080A26" w:rsidRPr="006B6B06" w:rsidRDefault="00EB41D1">
      <w:pPr>
        <w:spacing w:after="160"/>
        <w:rPr>
          <w:rFonts w:ascii="Calibri" w:hAnsi="Calibri" w:cs="Calibri"/>
        </w:rPr>
      </w:pPr>
      <w:r w:rsidRPr="006B6B06">
        <w:rPr>
          <w:rFonts w:ascii="Calibri" w:hAnsi="Calibri" w:cs="Calibri"/>
        </w:rPr>
        <w:t>Default Risk – Securities carry a risk of repayment of principal or interest by the borrower. The default risk depends on micro-economic factors such as financial soundness and ability of the borrower and macro-economic factors such as industry performance, competition, trade barriers, etc.</w:t>
      </w:r>
    </w:p>
    <w:p w14:paraId="7A35CB77" w14:textId="77777777" w:rsidR="00080A26" w:rsidRPr="006B6B06" w:rsidRDefault="00EB41D1">
      <w:pPr>
        <w:spacing w:after="160"/>
        <w:rPr>
          <w:rFonts w:ascii="Calibri" w:hAnsi="Calibri" w:cs="Calibri"/>
        </w:rPr>
      </w:pPr>
      <w:r w:rsidRPr="006B6B06">
        <w:rPr>
          <w:rFonts w:ascii="Calibri" w:hAnsi="Calibri" w:cs="Calibri"/>
        </w:rPr>
        <w:t>Downgrade Risk – The risk that a credit rating agency downgrades the rating of an issuer based on earnings and cash-flow generating capacity, leading to an increase in credit spread and a reduction in the price of the corporate bond.</w:t>
      </w:r>
    </w:p>
    <w:p w14:paraId="7A35CB78" w14:textId="77777777" w:rsidR="00080A26" w:rsidRPr="006B6B06" w:rsidRDefault="00EB41D1">
      <w:pPr>
        <w:spacing w:after="160"/>
        <w:rPr>
          <w:rFonts w:ascii="Calibri" w:hAnsi="Calibri" w:cs="Calibri"/>
        </w:rPr>
      </w:pPr>
      <w:r w:rsidRPr="006B6B06">
        <w:rPr>
          <w:rFonts w:ascii="Calibri" w:hAnsi="Calibri" w:cs="Calibri"/>
        </w:rPr>
        <w:t xml:space="preserve">Spread Risk – Though the sovereign yield curve might remain constant, investments in corporate bonds are exposed to the risk of spread widening between corporate bonds and gilts; if the spread widens, prices of </w:t>
      </w:r>
      <w:r w:rsidRPr="006B6B06">
        <w:rPr>
          <w:rFonts w:ascii="Calibri" w:hAnsi="Calibri" w:cs="Calibri"/>
        </w:rPr>
        <w:lastRenderedPageBreak/>
        <w:t>corporate bonds (and the NAV of debt schemes) tend to fall. A similar risk prevails for floating rate bonds where the spread over the benchmark may vary.</w:t>
      </w:r>
    </w:p>
    <w:p w14:paraId="7A35CB79" w14:textId="77777777" w:rsidR="00080A26" w:rsidRPr="006B6B06" w:rsidRDefault="00EB41D1">
      <w:pPr>
        <w:spacing w:before="200" w:after="100"/>
        <w:rPr>
          <w:rFonts w:ascii="Calibri" w:hAnsi="Calibri" w:cs="Calibri"/>
        </w:rPr>
      </w:pPr>
      <w:r w:rsidRPr="006B6B06">
        <w:rPr>
          <w:rFonts w:ascii="Calibri" w:hAnsi="Calibri" w:cs="Calibri"/>
          <w:b/>
          <w:bCs/>
          <w:i/>
          <w:iCs/>
        </w:rPr>
        <w:t>iv. Price Risk</w:t>
      </w:r>
    </w:p>
    <w:p w14:paraId="7A35CB7A" w14:textId="77777777" w:rsidR="00080A26" w:rsidRPr="006B6B06" w:rsidRDefault="00EB41D1">
      <w:pPr>
        <w:spacing w:after="160"/>
        <w:rPr>
          <w:rFonts w:ascii="Calibri" w:hAnsi="Calibri" w:cs="Calibri"/>
        </w:rPr>
      </w:pPr>
      <w:r w:rsidRPr="006B6B06">
        <w:rPr>
          <w:rFonts w:ascii="Calibri" w:hAnsi="Calibri" w:cs="Calibri"/>
        </w:rPr>
        <w:t>Government securities where a fixed return is offered run price-risk like any other fixed income security. Generally, when interest rates rise, prices fall, and when interest rates drop, prices increase; the extent of movement is a function of the existing coupon, days to maturity and change in interest rate levels. The price-risk is not unique to Government Securities — it exists for all fixed income securities. However, Government Securities are unique in that their credit risk generally remains zero, so their prices are influenced only by movement in interest rates in the financial system.</w:t>
      </w:r>
    </w:p>
    <w:p w14:paraId="7A35CB7B" w14:textId="77777777" w:rsidR="00080A26" w:rsidRPr="006B6B06" w:rsidRDefault="00EB41D1">
      <w:pPr>
        <w:spacing w:before="200" w:after="100"/>
        <w:rPr>
          <w:rFonts w:ascii="Calibri" w:hAnsi="Calibri" w:cs="Calibri"/>
        </w:rPr>
      </w:pPr>
      <w:r w:rsidRPr="006B6B06">
        <w:rPr>
          <w:rFonts w:ascii="Calibri" w:hAnsi="Calibri" w:cs="Calibri"/>
          <w:b/>
          <w:bCs/>
          <w:i/>
          <w:iCs/>
        </w:rPr>
        <w:t>v. Reinvestment Risk</w:t>
      </w:r>
    </w:p>
    <w:p w14:paraId="7A35CB7C" w14:textId="77777777" w:rsidR="00080A26" w:rsidRPr="006B6B06" w:rsidRDefault="00EB41D1">
      <w:pPr>
        <w:spacing w:after="160"/>
        <w:rPr>
          <w:rFonts w:ascii="Calibri" w:hAnsi="Calibri" w:cs="Calibri"/>
        </w:rPr>
      </w:pPr>
      <w:r w:rsidRPr="006B6B06">
        <w:rPr>
          <w:rFonts w:ascii="Calibri" w:hAnsi="Calibri" w:cs="Calibri"/>
        </w:rPr>
        <w:t>This risk refers to the interest rate levels at which cash flows received from the securities in the Scheme are reinvested. The additional income from reinvestment is the “interest on interest” component. The risk is that the rate at which interim cash flows can be reinvested may be lower than that originally assumed.</w:t>
      </w:r>
    </w:p>
    <w:p w14:paraId="7A35CB7D" w14:textId="77777777" w:rsidR="00080A26" w:rsidRPr="006B6B06" w:rsidRDefault="00EB41D1">
      <w:pPr>
        <w:spacing w:before="200" w:after="100"/>
        <w:rPr>
          <w:rFonts w:ascii="Calibri" w:hAnsi="Calibri" w:cs="Calibri"/>
        </w:rPr>
      </w:pPr>
      <w:r w:rsidRPr="006B6B06">
        <w:rPr>
          <w:rFonts w:ascii="Calibri" w:hAnsi="Calibri" w:cs="Calibri"/>
          <w:b/>
          <w:bCs/>
          <w:i/>
          <w:iCs/>
        </w:rPr>
        <w:t>vi. Rating Migration Risk</w:t>
      </w:r>
    </w:p>
    <w:p w14:paraId="7A35CB7E" w14:textId="77777777" w:rsidR="00080A26" w:rsidRPr="006B6B06" w:rsidRDefault="00EB41D1">
      <w:pPr>
        <w:spacing w:after="160"/>
        <w:rPr>
          <w:rFonts w:ascii="Calibri" w:hAnsi="Calibri" w:cs="Calibri"/>
        </w:rPr>
      </w:pPr>
      <w:r w:rsidRPr="006B6B06">
        <w:rPr>
          <w:rFonts w:ascii="Calibri" w:hAnsi="Calibri" w:cs="Calibri"/>
        </w:rPr>
        <w:t>Investments in fixed income securities may carry reinvestment risk as interest rates prevailing on the interest or maturity due dates may differ from the original coupon of the bond. Consequently, the proceeds from regular coupon and principal payments on the due date may get invested at a lower rate.</w:t>
      </w:r>
    </w:p>
    <w:p w14:paraId="7A35CB7F" w14:textId="77777777" w:rsidR="00080A26" w:rsidRPr="006B6B06" w:rsidRDefault="00EB41D1">
      <w:pPr>
        <w:spacing w:before="200" w:after="100"/>
        <w:rPr>
          <w:rFonts w:ascii="Calibri" w:hAnsi="Calibri" w:cs="Calibri"/>
        </w:rPr>
      </w:pPr>
      <w:r w:rsidRPr="006B6B06">
        <w:rPr>
          <w:rFonts w:ascii="Calibri" w:hAnsi="Calibri" w:cs="Calibri"/>
          <w:b/>
          <w:bCs/>
          <w:i/>
          <w:iCs/>
        </w:rPr>
        <w:t>vii. Risks associated with investing in Tri Party Repo through CCIL (TREPS)</w:t>
      </w:r>
    </w:p>
    <w:p w14:paraId="7A35CB80" w14:textId="77777777" w:rsidR="00080A26" w:rsidRPr="006B6B06" w:rsidRDefault="00EB41D1">
      <w:pPr>
        <w:spacing w:after="160"/>
        <w:rPr>
          <w:rFonts w:ascii="Calibri" w:hAnsi="Calibri" w:cs="Calibri"/>
        </w:rPr>
      </w:pPr>
      <w:r w:rsidRPr="006B6B06">
        <w:rPr>
          <w:rFonts w:ascii="Calibri" w:hAnsi="Calibri" w:cs="Calibri"/>
        </w:rPr>
        <w:t>The mutual fund is a member of the securities segment and Tri-Party Repo trade settlement of the Clearing Corporation of India (CCIL). Transactions are settled centrally through CCIL’s infrastructure, reducing settlement and counterparty risk considerably. CCIL maintains prefunded resources across the clearing segments to cover potential losses arising from a defaulting member, utilised in a prescribed sequence known as the “Default Waterfall”. Post-utilisation of CCIL’s own contribution, any residual loss is appropriated from the default fund contributions of non-defaulting members.</w:t>
      </w:r>
    </w:p>
    <w:p w14:paraId="7A35CB81" w14:textId="77777777" w:rsidR="00080A26" w:rsidRPr="006B6B06" w:rsidRDefault="00EB41D1">
      <w:pPr>
        <w:spacing w:after="160"/>
        <w:rPr>
          <w:rFonts w:ascii="Calibri" w:hAnsi="Calibri" w:cs="Calibri"/>
        </w:rPr>
      </w:pPr>
      <w:r w:rsidRPr="006B6B06">
        <w:rPr>
          <w:rFonts w:ascii="Calibri" w:hAnsi="Calibri" w:cs="Calibri"/>
        </w:rPr>
        <w:t>Thus the Scheme is subject to the risk of its initial margin and default fund contribution being invoked in the event of failure of any settlement obligations, including the possibility of its contribution being used to meet residual losses caused by a defaulting member. A member’s maximum contribution towards replenishment of the default fund in the 7 days (30 days for the securities segment) immediately after a notified loss threshold is reached shall not exceed 5 times its contribution to the Default Fund (or specified amount, whichever is lower). CCIL periodically prescribes eligible collateral securities; presently, Central Government securities and Treasury bills are accepted, and this may change if CCIL notifies other securities as eligible.</w:t>
      </w:r>
    </w:p>
    <w:p w14:paraId="7A35CB82" w14:textId="77777777" w:rsidR="00080A26" w:rsidRPr="006B6B06" w:rsidRDefault="00EB41D1">
      <w:pPr>
        <w:spacing w:before="200" w:after="100"/>
        <w:rPr>
          <w:rFonts w:ascii="Calibri" w:hAnsi="Calibri" w:cs="Calibri"/>
        </w:rPr>
      </w:pPr>
      <w:r w:rsidRPr="006B6B06">
        <w:rPr>
          <w:rFonts w:ascii="Calibri" w:hAnsi="Calibri" w:cs="Calibri"/>
          <w:b/>
          <w:bCs/>
          <w:i/>
          <w:iCs/>
        </w:rPr>
        <w:t>viii. Risks associated with transaction in Units through stock exchange(s)</w:t>
      </w:r>
    </w:p>
    <w:p w14:paraId="7A35CB83" w14:textId="77777777" w:rsidR="00080A26" w:rsidRPr="006B6B06" w:rsidRDefault="00EB41D1">
      <w:pPr>
        <w:spacing w:after="160"/>
        <w:rPr>
          <w:rFonts w:ascii="Calibri" w:hAnsi="Calibri" w:cs="Calibri"/>
        </w:rPr>
      </w:pPr>
      <w:r w:rsidRPr="006B6B06">
        <w:rPr>
          <w:rFonts w:ascii="Calibri" w:hAnsi="Calibri" w:cs="Calibri"/>
        </w:rPr>
        <w:t>In respect of transactions in Units of the Scheme through BSE and/or NSE, allotment and redemption of Units on any Business Day will depend upon the order processing / settlement by BSE and/or NSE and their respective clearing corporations, on which the Fund has no control.</w:t>
      </w:r>
    </w:p>
    <w:p w14:paraId="67C67AEC" w14:textId="77777777" w:rsidR="00B33DAE" w:rsidRPr="006B6B06" w:rsidRDefault="00B33DAE">
      <w:pPr>
        <w:spacing w:after="160"/>
        <w:rPr>
          <w:rFonts w:ascii="Calibri" w:hAnsi="Calibri" w:cs="Calibri"/>
        </w:rPr>
      </w:pPr>
    </w:p>
    <w:p w14:paraId="2EAFA772" w14:textId="77777777" w:rsidR="00B33DAE" w:rsidRPr="006B6B06" w:rsidRDefault="00B33DAE">
      <w:pPr>
        <w:spacing w:after="160"/>
        <w:rPr>
          <w:rFonts w:ascii="Calibri" w:hAnsi="Calibri" w:cs="Calibri"/>
        </w:rPr>
      </w:pPr>
    </w:p>
    <w:p w14:paraId="7A35CB84" w14:textId="77777777" w:rsidR="00080A26" w:rsidRPr="006B6B06" w:rsidRDefault="00EB41D1">
      <w:pPr>
        <w:spacing w:before="200" w:after="100"/>
        <w:rPr>
          <w:rFonts w:ascii="Calibri" w:hAnsi="Calibri" w:cs="Calibri"/>
        </w:rPr>
      </w:pPr>
      <w:r w:rsidRPr="006B6B06">
        <w:rPr>
          <w:rFonts w:ascii="Calibri" w:hAnsi="Calibri" w:cs="Calibri"/>
          <w:b/>
          <w:bCs/>
          <w:i/>
          <w:iCs/>
        </w:rPr>
        <w:t>ix. Risk associated with Repo Transactions</w:t>
      </w:r>
    </w:p>
    <w:p w14:paraId="7A35CB85" w14:textId="77777777" w:rsidR="00080A26" w:rsidRPr="006B6B06" w:rsidRDefault="00EB41D1">
      <w:pPr>
        <w:spacing w:after="160"/>
        <w:rPr>
          <w:rFonts w:ascii="Calibri" w:hAnsi="Calibri" w:cs="Calibri"/>
        </w:rPr>
      </w:pPr>
      <w:r w:rsidRPr="006B6B06">
        <w:rPr>
          <w:rFonts w:ascii="Calibri" w:hAnsi="Calibri" w:cs="Calibri"/>
        </w:rPr>
        <w:t>The Scheme may be exposed to counterparty risk in case of repo lending transactions in the event of the counterparty failing to honour the repurchase agreement. However, in repo transactions, the collateral may be sold and a loss is realised only if the sale price is less than the repo amount; this risk is further mitigated through over-collateralisation (the value of the collateral being more than the repo amount).</w:t>
      </w:r>
    </w:p>
    <w:p w14:paraId="7A35CB86" w14:textId="77777777" w:rsidR="00080A26" w:rsidRPr="006B6B06" w:rsidRDefault="00EB41D1">
      <w:pPr>
        <w:spacing w:before="200" w:after="100"/>
        <w:rPr>
          <w:rFonts w:ascii="Calibri" w:hAnsi="Calibri" w:cs="Calibri"/>
        </w:rPr>
      </w:pPr>
      <w:r w:rsidRPr="006B6B06">
        <w:rPr>
          <w:rFonts w:ascii="Calibri" w:hAnsi="Calibri" w:cs="Calibri"/>
          <w:b/>
          <w:bCs/>
          <w:i/>
          <w:iCs/>
        </w:rPr>
        <w:t>x. Risks associated with Repo Transactions in Corporate Debt Securities</w:t>
      </w:r>
    </w:p>
    <w:p w14:paraId="7A35CB87" w14:textId="77777777" w:rsidR="00080A26" w:rsidRPr="006B6B06" w:rsidRDefault="00EB41D1">
      <w:pPr>
        <w:spacing w:after="160"/>
        <w:rPr>
          <w:rFonts w:ascii="Calibri" w:hAnsi="Calibri" w:cs="Calibri"/>
        </w:rPr>
      </w:pPr>
      <w:r w:rsidRPr="006B6B06">
        <w:rPr>
          <w:rFonts w:ascii="Calibri" w:hAnsi="Calibri" w:cs="Calibri"/>
        </w:rPr>
        <w:t xml:space="preserve">Similar counterparty risk arises in repo transactions in corporate debt securities; a loss is realised only if the collateral sale price is less than the repo amount, and this may be further mitigated through over-collateralisation. The liquidation of underlying securities in case of counterparty default would also depend on </w:t>
      </w:r>
      <w:r w:rsidRPr="006B6B06">
        <w:rPr>
          <w:rFonts w:ascii="Calibri" w:hAnsi="Calibri" w:cs="Calibri"/>
        </w:rPr>
        <w:lastRenderedPageBreak/>
        <w:t>the liquidity of the securities and market conditions at that time. This risk is mitigated by following an appropriate counterparty selection process, including credit profile evaluation and over-collateralisation.</w:t>
      </w:r>
    </w:p>
    <w:p w14:paraId="7A35CB88" w14:textId="77777777" w:rsidR="00080A26" w:rsidRPr="006B6B06" w:rsidRDefault="00EB41D1">
      <w:pPr>
        <w:spacing w:before="200" w:after="100"/>
        <w:rPr>
          <w:rFonts w:ascii="Calibri" w:hAnsi="Calibri" w:cs="Calibri"/>
        </w:rPr>
      </w:pPr>
      <w:r w:rsidRPr="006B6B06">
        <w:rPr>
          <w:rFonts w:ascii="Calibri" w:hAnsi="Calibri" w:cs="Calibri"/>
          <w:b/>
          <w:bCs/>
          <w:i/>
          <w:iCs/>
        </w:rPr>
        <w:t>xi. Performance Risk</w:t>
      </w:r>
    </w:p>
    <w:p w14:paraId="7A35CB89" w14:textId="77777777" w:rsidR="00080A26" w:rsidRPr="006B6B06" w:rsidRDefault="00EB41D1">
      <w:pPr>
        <w:spacing w:after="160"/>
        <w:rPr>
          <w:rFonts w:ascii="Calibri" w:hAnsi="Calibri" w:cs="Calibri"/>
        </w:rPr>
      </w:pPr>
      <w:r w:rsidRPr="006B6B06">
        <w:rPr>
          <w:rFonts w:ascii="Calibri" w:hAnsi="Calibri" w:cs="Calibri"/>
        </w:rPr>
        <w:t>Performance risk refers to the risk of the Scheme being unable to generate returns matching / above the returns of its benchmark, or underperforming against peer schemes with similar portfolios, classification, objective, benchmark and asset allocation. This risk is a function of interest rate movement and the associated price movement of invested debt/money market instruments, duration risk, credit quality movement and liquidity of the invested instruments, arising from market and economic activity, government policies, global economic changes, currency fluctuations, tax policies, political changes, corporate actions and investor behaviour.</w:t>
      </w:r>
    </w:p>
    <w:p w14:paraId="7A35CB8A" w14:textId="77777777" w:rsidR="00080A26" w:rsidRPr="006B6B06" w:rsidRDefault="00EB41D1">
      <w:pPr>
        <w:spacing w:before="200" w:after="100"/>
        <w:rPr>
          <w:rFonts w:ascii="Calibri" w:hAnsi="Calibri" w:cs="Calibri"/>
        </w:rPr>
      </w:pPr>
      <w:r w:rsidRPr="006B6B06">
        <w:rPr>
          <w:rFonts w:ascii="Calibri" w:hAnsi="Calibri" w:cs="Calibri"/>
          <w:b/>
          <w:bCs/>
          <w:i/>
          <w:iCs/>
        </w:rPr>
        <w:t>xii. Some of the other risks of investing in debt and money market securities are</w:t>
      </w:r>
    </w:p>
    <w:p w14:paraId="7A35CB8B" w14:textId="77777777" w:rsidR="00080A26" w:rsidRPr="006B6B06" w:rsidRDefault="00EB41D1">
      <w:pPr>
        <w:pStyle w:val="ListParagraph"/>
        <w:numPr>
          <w:ilvl w:val="0"/>
          <w:numId w:val="2"/>
        </w:numPr>
        <w:spacing w:after="120"/>
        <w:rPr>
          <w:rFonts w:ascii="Calibri" w:hAnsi="Calibri" w:cs="Calibri"/>
        </w:rPr>
      </w:pPr>
      <w:r w:rsidRPr="006B6B06">
        <w:rPr>
          <w:rFonts w:ascii="Calibri" w:hAnsi="Calibri" w:cs="Calibri"/>
          <w:b/>
          <w:bCs/>
        </w:rPr>
        <w:t xml:space="preserve">Instrument-level risk: </w:t>
      </w:r>
      <w:r w:rsidRPr="006B6B06">
        <w:rPr>
          <w:rFonts w:ascii="Calibri" w:hAnsi="Calibri" w:cs="Calibri"/>
        </w:rPr>
        <w:t>Different types of fixed income securities carry different levels and types of risk; corporate bonds carry a higher level of risk than Government securities, and even among corporate bonds, AAA-rated bonds are comparatively less risky than AA-rated bonds.</w:t>
      </w:r>
    </w:p>
    <w:p w14:paraId="7A35CB8C" w14:textId="77777777" w:rsidR="00080A26" w:rsidRPr="006B6B06" w:rsidRDefault="00EB41D1">
      <w:pPr>
        <w:pStyle w:val="ListParagraph"/>
        <w:numPr>
          <w:ilvl w:val="0"/>
          <w:numId w:val="2"/>
        </w:numPr>
        <w:spacing w:after="120"/>
        <w:rPr>
          <w:rFonts w:ascii="Calibri" w:hAnsi="Calibri" w:cs="Calibri"/>
        </w:rPr>
      </w:pPr>
      <w:r w:rsidRPr="006B6B06">
        <w:rPr>
          <w:rFonts w:ascii="Calibri" w:hAnsi="Calibri" w:cs="Calibri"/>
          <w:b/>
          <w:bCs/>
        </w:rPr>
        <w:t xml:space="preserve">Lower rated / unrated / zero coupon exposure: </w:t>
      </w:r>
      <w:r w:rsidRPr="006B6B06">
        <w:rPr>
          <w:rFonts w:ascii="Calibri" w:hAnsi="Calibri" w:cs="Calibri"/>
        </w:rPr>
        <w:t>The AMC may, considering the overall level of risk of the portfolio, invest in lower rated / unrated securities or zero coupon securities offering attractive yields, which may increase the absolute level of risk of the portfolio.</w:t>
      </w:r>
    </w:p>
    <w:p w14:paraId="7A35CB8D" w14:textId="77777777" w:rsidR="00080A26" w:rsidRPr="006B6B06" w:rsidRDefault="00EB41D1">
      <w:pPr>
        <w:pStyle w:val="ListParagraph"/>
        <w:numPr>
          <w:ilvl w:val="0"/>
          <w:numId w:val="2"/>
        </w:numPr>
        <w:spacing w:after="120"/>
        <w:rPr>
          <w:rFonts w:ascii="Calibri" w:hAnsi="Calibri" w:cs="Calibri"/>
        </w:rPr>
      </w:pPr>
      <w:r w:rsidRPr="006B6B06">
        <w:rPr>
          <w:rFonts w:ascii="Calibri" w:hAnsi="Calibri" w:cs="Calibri"/>
          <w:b/>
          <w:bCs/>
        </w:rPr>
        <w:t xml:space="preserve">Zero coupon securities: </w:t>
      </w:r>
      <w:r w:rsidRPr="006B6B06">
        <w:rPr>
          <w:rFonts w:ascii="Calibri" w:hAnsi="Calibri" w:cs="Calibri"/>
        </w:rPr>
        <w:t>Zero coupon securities do not provide periodic interest payments and are more sensitive to changes in interest rates, i.e., have higher interest rate risk.</w:t>
      </w:r>
    </w:p>
    <w:p w14:paraId="7A35CB8E" w14:textId="77777777" w:rsidR="00080A26" w:rsidRPr="006B6B06" w:rsidRDefault="00EB41D1">
      <w:pPr>
        <w:pStyle w:val="ListParagraph"/>
        <w:numPr>
          <w:ilvl w:val="0"/>
          <w:numId w:val="2"/>
        </w:numPr>
        <w:spacing w:after="120"/>
        <w:rPr>
          <w:rFonts w:ascii="Calibri" w:hAnsi="Calibri" w:cs="Calibri"/>
        </w:rPr>
      </w:pPr>
      <w:r w:rsidRPr="006B6B06">
        <w:rPr>
          <w:rFonts w:ascii="Calibri" w:hAnsi="Calibri" w:cs="Calibri"/>
          <w:b/>
          <w:bCs/>
        </w:rPr>
        <w:t xml:space="preserve">Unlisted securities: </w:t>
      </w:r>
      <w:r w:rsidRPr="006B6B06">
        <w:rPr>
          <w:rFonts w:ascii="Calibri" w:hAnsi="Calibri" w:cs="Calibri"/>
        </w:rPr>
        <w:t>Securities not quoted on stock exchanges are inherently illiquid and carry a larger amount of liquidity risk compared to listed securities or those offering other exit options.</w:t>
      </w:r>
    </w:p>
    <w:p w14:paraId="7A35CB8F" w14:textId="77777777" w:rsidR="00080A26" w:rsidRPr="006B6B06" w:rsidRDefault="00EB41D1">
      <w:pPr>
        <w:pStyle w:val="ListParagraph"/>
        <w:numPr>
          <w:ilvl w:val="0"/>
          <w:numId w:val="2"/>
        </w:numPr>
        <w:spacing w:after="120"/>
        <w:rPr>
          <w:rFonts w:ascii="Calibri" w:hAnsi="Calibri" w:cs="Calibri"/>
        </w:rPr>
      </w:pPr>
      <w:r w:rsidRPr="006B6B06">
        <w:rPr>
          <w:rFonts w:ascii="Calibri" w:hAnsi="Calibri" w:cs="Calibri"/>
          <w:b/>
          <w:bCs/>
        </w:rPr>
        <w:t xml:space="preserve">Redemption pressure: </w:t>
      </w:r>
      <w:r w:rsidRPr="006B6B06">
        <w:rPr>
          <w:rFonts w:ascii="Calibri" w:hAnsi="Calibri" w:cs="Calibri"/>
        </w:rPr>
        <w:t>The Scheme may at times receive a large number of redemption requests, leading to an asset-liability mismatch and requiring distress sale of securities, resulting in investment in lower yield instruments.</w:t>
      </w:r>
    </w:p>
    <w:p w14:paraId="7A35CB90" w14:textId="77777777" w:rsidR="00080A26" w:rsidRPr="006B6B06" w:rsidRDefault="00EB41D1">
      <w:pPr>
        <w:pStyle w:val="ListParagraph"/>
        <w:numPr>
          <w:ilvl w:val="0"/>
          <w:numId w:val="2"/>
        </w:numPr>
        <w:spacing w:after="120"/>
        <w:rPr>
          <w:rFonts w:ascii="Calibri" w:hAnsi="Calibri" w:cs="Calibri"/>
        </w:rPr>
      </w:pPr>
      <w:r w:rsidRPr="006B6B06">
        <w:rPr>
          <w:rFonts w:ascii="Calibri" w:hAnsi="Calibri" w:cs="Calibri"/>
          <w:b/>
          <w:bCs/>
        </w:rPr>
        <w:t xml:space="preserve">Benchmark divergence: </w:t>
      </w:r>
      <w:r w:rsidRPr="006B6B06">
        <w:rPr>
          <w:rFonts w:ascii="Calibri" w:hAnsi="Calibri" w:cs="Calibri"/>
        </w:rPr>
        <w:t>Scheme performance may differ from the benchmark index to the extent of investments held in the debt segment as per the investment pattern indicated under normal circumstances.</w:t>
      </w:r>
    </w:p>
    <w:p w14:paraId="7A35CB91" w14:textId="77777777" w:rsidR="00080A26" w:rsidRPr="006B6B06" w:rsidRDefault="00EB41D1">
      <w:pPr>
        <w:pStyle w:val="ListParagraph"/>
        <w:numPr>
          <w:ilvl w:val="0"/>
          <w:numId w:val="2"/>
        </w:numPr>
        <w:spacing w:after="120"/>
        <w:rPr>
          <w:rFonts w:ascii="Calibri" w:hAnsi="Calibri" w:cs="Calibri"/>
        </w:rPr>
      </w:pPr>
      <w:r w:rsidRPr="006B6B06">
        <w:rPr>
          <w:rFonts w:ascii="Calibri" w:hAnsi="Calibri" w:cs="Calibri"/>
          <w:b/>
          <w:bCs/>
        </w:rPr>
        <w:t xml:space="preserve">Unrated instruments: </w:t>
      </w:r>
      <w:r w:rsidRPr="006B6B06">
        <w:rPr>
          <w:rFonts w:ascii="Calibri" w:hAnsi="Calibri" w:cs="Calibri"/>
        </w:rPr>
        <w:t>Investment in unrated instruments may involve a risk of default or decline in market value higher than rated instruments due to adverse economic and issuer-specific developments; such investments tend to be more volatile and less liquid than rated debt securities.</w:t>
      </w:r>
    </w:p>
    <w:p w14:paraId="7A35CB92" w14:textId="77777777" w:rsidR="00080A26" w:rsidRPr="006B6B06" w:rsidRDefault="00EB41D1">
      <w:pPr>
        <w:pStyle w:val="ListParagraph"/>
        <w:numPr>
          <w:ilvl w:val="0"/>
          <w:numId w:val="2"/>
        </w:numPr>
        <w:spacing w:after="120"/>
        <w:rPr>
          <w:rFonts w:ascii="Calibri" w:hAnsi="Calibri" w:cs="Calibri"/>
        </w:rPr>
      </w:pPr>
      <w:r w:rsidRPr="006B6B06">
        <w:rPr>
          <w:rFonts w:ascii="Calibri" w:hAnsi="Calibri" w:cs="Calibri"/>
          <w:b/>
          <w:bCs/>
        </w:rPr>
        <w:t xml:space="preserve">Policy / tax changes: </w:t>
      </w:r>
      <w:r w:rsidRPr="006B6B06">
        <w:rPr>
          <w:rFonts w:ascii="Calibri" w:hAnsi="Calibri" w:cs="Calibri"/>
        </w:rPr>
        <w:t>Changes in government policy in general and changes in tax benefits applicable to Mutual Funds may impact the returns to investors in the Schemes.</w:t>
      </w:r>
    </w:p>
    <w:p w14:paraId="7A35CB93" w14:textId="77777777" w:rsidR="00080A26" w:rsidRPr="006B6B06" w:rsidRDefault="00EB41D1">
      <w:pPr>
        <w:spacing w:after="160"/>
        <w:rPr>
          <w:rFonts w:ascii="Calibri" w:hAnsi="Calibri" w:cs="Calibri"/>
        </w:rPr>
      </w:pPr>
      <w:r w:rsidRPr="006B6B06">
        <w:rPr>
          <w:rFonts w:ascii="Calibri" w:hAnsi="Calibri" w:cs="Calibri"/>
        </w:rPr>
        <w:t>The inability of the Scheme to make intended securities purchases due to settlement problems could cause the Scheme to miss certain investment opportunities. Similarly, the inability to sell securities held in the portfolio due to extraneous factors that impact liquidity would result, at times, in potential losses to the Scheme in case of a subsequent decline in the value of such securities.</w:t>
      </w:r>
    </w:p>
    <w:p w14:paraId="7A35CB94" w14:textId="77777777" w:rsidR="00080A26" w:rsidRPr="006B6B06" w:rsidRDefault="00EB41D1">
      <w:pPr>
        <w:spacing w:before="200" w:after="100"/>
        <w:rPr>
          <w:rFonts w:ascii="Calibri" w:hAnsi="Calibri" w:cs="Calibri"/>
        </w:rPr>
      </w:pPr>
      <w:r w:rsidRPr="006B6B06">
        <w:rPr>
          <w:rFonts w:ascii="Calibri" w:hAnsi="Calibri" w:cs="Calibri"/>
          <w:b/>
          <w:bCs/>
          <w:i/>
          <w:iCs/>
        </w:rPr>
        <w:t>xiii. Risks associated with segregated portfolio</w:t>
      </w:r>
    </w:p>
    <w:p w14:paraId="7A35CB95" w14:textId="77777777" w:rsidR="00080A26" w:rsidRPr="006B6B06" w:rsidRDefault="00EB41D1">
      <w:pPr>
        <w:pStyle w:val="ListParagraph"/>
        <w:numPr>
          <w:ilvl w:val="0"/>
          <w:numId w:val="2"/>
        </w:numPr>
        <w:spacing w:after="120"/>
        <w:rPr>
          <w:rFonts w:ascii="Calibri" w:hAnsi="Calibri" w:cs="Calibri"/>
        </w:rPr>
      </w:pPr>
      <w:r w:rsidRPr="006B6B06">
        <w:rPr>
          <w:rFonts w:ascii="Calibri" w:hAnsi="Calibri" w:cs="Calibri"/>
        </w:rPr>
        <w:t>Investor holding units of a segregated portfolio may not be able to liquidate their holding till the time of recovery of money from the issuer.</w:t>
      </w:r>
    </w:p>
    <w:p w14:paraId="7A35CB96" w14:textId="77777777" w:rsidR="00080A26" w:rsidRPr="006B6B06" w:rsidRDefault="00EB41D1">
      <w:pPr>
        <w:pStyle w:val="ListParagraph"/>
        <w:numPr>
          <w:ilvl w:val="0"/>
          <w:numId w:val="2"/>
        </w:numPr>
        <w:spacing w:after="120"/>
        <w:rPr>
          <w:rFonts w:ascii="Calibri" w:hAnsi="Calibri" w:cs="Calibri"/>
        </w:rPr>
      </w:pPr>
      <w:r w:rsidRPr="006B6B06">
        <w:rPr>
          <w:rFonts w:ascii="Calibri" w:hAnsi="Calibri" w:cs="Calibri"/>
        </w:rPr>
        <w:t>Securities comprising the segregated portfolio may not realise any value.</w:t>
      </w:r>
    </w:p>
    <w:p w14:paraId="7A35CB97" w14:textId="77777777" w:rsidR="00080A26" w:rsidRPr="006B6B06" w:rsidRDefault="00EB41D1">
      <w:pPr>
        <w:pStyle w:val="ListParagraph"/>
        <w:numPr>
          <w:ilvl w:val="0"/>
          <w:numId w:val="2"/>
        </w:numPr>
        <w:spacing w:after="120"/>
        <w:rPr>
          <w:rFonts w:ascii="Calibri" w:hAnsi="Calibri" w:cs="Calibri"/>
        </w:rPr>
      </w:pPr>
      <w:r w:rsidRPr="006B6B06">
        <w:rPr>
          <w:rFonts w:ascii="Calibri" w:hAnsi="Calibri" w:cs="Calibri"/>
        </w:rPr>
        <w:t>Listing of units of the segregated portfolio in a recognised stock exchange does not necessarily guarantee their liquidity; there may not be active trading, and the trading price may be significantly lower than the prevailing NAV.</w:t>
      </w:r>
    </w:p>
    <w:p w14:paraId="7A35CB98" w14:textId="77777777" w:rsidR="00080A26" w:rsidRPr="006B6B06" w:rsidRDefault="00EB41D1">
      <w:pPr>
        <w:spacing w:before="200" w:after="100"/>
        <w:rPr>
          <w:rFonts w:ascii="Calibri" w:hAnsi="Calibri" w:cs="Calibri"/>
        </w:rPr>
      </w:pPr>
      <w:r w:rsidRPr="006B6B06">
        <w:rPr>
          <w:rFonts w:ascii="Calibri" w:hAnsi="Calibri" w:cs="Calibri"/>
          <w:b/>
          <w:bCs/>
          <w:i/>
          <w:iCs/>
        </w:rPr>
        <w:t>xiv. Risk Associated while transacting through Email (Applicable for Non-Individual Investors)</w:t>
      </w:r>
    </w:p>
    <w:p w14:paraId="7A35CB99" w14:textId="77777777" w:rsidR="00080A26" w:rsidRPr="006B6B06" w:rsidRDefault="00EB41D1">
      <w:pPr>
        <w:spacing w:after="160"/>
        <w:rPr>
          <w:rFonts w:ascii="Calibri" w:hAnsi="Calibri" w:cs="Calibri"/>
        </w:rPr>
      </w:pPr>
      <w:r w:rsidRPr="006B6B06">
        <w:rPr>
          <w:rFonts w:ascii="Calibri" w:hAnsi="Calibri" w:cs="Calibri"/>
        </w:rPr>
        <w:t xml:space="preserve">The AMC allows investors to transact in mutual fund units through email. Email-based instructions are inherently vulnerable to interception, unauthorised access, phishing, spoofing, failed delivery and unintended transmission, and investors should ensure appropriate safeguards are in place. The AMC does not accept </w:t>
      </w:r>
      <w:r w:rsidRPr="006B6B06">
        <w:rPr>
          <w:rFonts w:ascii="Calibri" w:hAnsi="Calibri" w:cs="Calibri"/>
        </w:rPr>
        <w:lastRenderedPageBreak/>
        <w:t>responsibility or liability for any loss, damage or inconvenience arising from errors, delays, non-receipt or unauthorised access associated with transacting through email.</w:t>
      </w:r>
    </w:p>
    <w:p w14:paraId="7A35CBB3" w14:textId="7458EE15" w:rsidR="00080A26" w:rsidRPr="006B6B06" w:rsidRDefault="00080A26">
      <w:pPr>
        <w:spacing w:after="160"/>
        <w:rPr>
          <w:rFonts w:ascii="Calibri" w:hAnsi="Calibri" w:cs="Calibri"/>
        </w:rPr>
      </w:pPr>
    </w:p>
    <w:sectPr w:rsidR="00080A26" w:rsidRPr="006B6B06">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B355CE"/>
    <w:multiLevelType w:val="hybridMultilevel"/>
    <w:tmpl w:val="165C2914"/>
    <w:lvl w:ilvl="0" w:tplc="2FB0F2A0">
      <w:start w:val="1"/>
      <w:numFmt w:val="bullet"/>
      <w:lvlText w:val="•"/>
      <w:lvlJc w:val="left"/>
      <w:pPr>
        <w:ind w:left="460" w:hanging="260"/>
      </w:pPr>
    </w:lvl>
    <w:lvl w:ilvl="1" w:tplc="944C94B4">
      <w:numFmt w:val="decimal"/>
      <w:lvlText w:val=""/>
      <w:lvlJc w:val="left"/>
    </w:lvl>
    <w:lvl w:ilvl="2" w:tplc="591A9A6E">
      <w:numFmt w:val="decimal"/>
      <w:lvlText w:val=""/>
      <w:lvlJc w:val="left"/>
    </w:lvl>
    <w:lvl w:ilvl="3" w:tplc="172E861A">
      <w:numFmt w:val="decimal"/>
      <w:lvlText w:val=""/>
      <w:lvlJc w:val="left"/>
    </w:lvl>
    <w:lvl w:ilvl="4" w:tplc="F6108C86">
      <w:numFmt w:val="decimal"/>
      <w:lvlText w:val=""/>
      <w:lvlJc w:val="left"/>
    </w:lvl>
    <w:lvl w:ilvl="5" w:tplc="84401FE4">
      <w:numFmt w:val="decimal"/>
      <w:lvlText w:val=""/>
      <w:lvlJc w:val="left"/>
    </w:lvl>
    <w:lvl w:ilvl="6" w:tplc="EB20DCC2">
      <w:numFmt w:val="decimal"/>
      <w:lvlText w:val=""/>
      <w:lvlJc w:val="left"/>
    </w:lvl>
    <w:lvl w:ilvl="7" w:tplc="C0C2635C">
      <w:numFmt w:val="decimal"/>
      <w:lvlText w:val=""/>
      <w:lvlJc w:val="left"/>
    </w:lvl>
    <w:lvl w:ilvl="8" w:tplc="1FB83B8C">
      <w:numFmt w:val="decimal"/>
      <w:lvlText w:val=""/>
      <w:lvlJc w:val="left"/>
    </w:lvl>
  </w:abstractNum>
  <w:abstractNum w:abstractNumId="1" w15:restartNumberingAfterBreak="0">
    <w:nsid w:val="7CC61A61"/>
    <w:multiLevelType w:val="hybridMultilevel"/>
    <w:tmpl w:val="1924E316"/>
    <w:lvl w:ilvl="0" w:tplc="636A66BA">
      <w:start w:val="1"/>
      <w:numFmt w:val="bullet"/>
      <w:lvlText w:val="●"/>
      <w:lvlJc w:val="left"/>
      <w:pPr>
        <w:ind w:left="720" w:hanging="360"/>
      </w:pPr>
    </w:lvl>
    <w:lvl w:ilvl="1" w:tplc="5A04C032">
      <w:start w:val="1"/>
      <w:numFmt w:val="bullet"/>
      <w:lvlText w:val="○"/>
      <w:lvlJc w:val="left"/>
      <w:pPr>
        <w:ind w:left="1440" w:hanging="360"/>
      </w:pPr>
    </w:lvl>
    <w:lvl w:ilvl="2" w:tplc="B20AA80E">
      <w:start w:val="1"/>
      <w:numFmt w:val="bullet"/>
      <w:lvlText w:val="■"/>
      <w:lvlJc w:val="left"/>
      <w:pPr>
        <w:ind w:left="2160" w:hanging="360"/>
      </w:pPr>
    </w:lvl>
    <w:lvl w:ilvl="3" w:tplc="9D74ED74">
      <w:start w:val="1"/>
      <w:numFmt w:val="bullet"/>
      <w:lvlText w:val="●"/>
      <w:lvlJc w:val="left"/>
      <w:pPr>
        <w:ind w:left="2880" w:hanging="360"/>
      </w:pPr>
    </w:lvl>
    <w:lvl w:ilvl="4" w:tplc="1E4C98AA">
      <w:start w:val="1"/>
      <w:numFmt w:val="bullet"/>
      <w:lvlText w:val="○"/>
      <w:lvlJc w:val="left"/>
      <w:pPr>
        <w:ind w:left="3600" w:hanging="360"/>
      </w:pPr>
    </w:lvl>
    <w:lvl w:ilvl="5" w:tplc="2200B49A">
      <w:start w:val="1"/>
      <w:numFmt w:val="bullet"/>
      <w:lvlText w:val="■"/>
      <w:lvlJc w:val="left"/>
      <w:pPr>
        <w:ind w:left="4320" w:hanging="360"/>
      </w:pPr>
    </w:lvl>
    <w:lvl w:ilvl="6" w:tplc="25B0460C">
      <w:start w:val="1"/>
      <w:numFmt w:val="bullet"/>
      <w:lvlText w:val="●"/>
      <w:lvlJc w:val="left"/>
      <w:pPr>
        <w:ind w:left="5040" w:hanging="360"/>
      </w:pPr>
    </w:lvl>
    <w:lvl w:ilvl="7" w:tplc="A47C9BC6">
      <w:start w:val="1"/>
      <w:numFmt w:val="bullet"/>
      <w:lvlText w:val="●"/>
      <w:lvlJc w:val="left"/>
      <w:pPr>
        <w:ind w:left="5760" w:hanging="360"/>
      </w:pPr>
    </w:lvl>
    <w:lvl w:ilvl="8" w:tplc="7B88B6C2">
      <w:start w:val="1"/>
      <w:numFmt w:val="bullet"/>
      <w:lvlText w:val="●"/>
      <w:lvlJc w:val="left"/>
      <w:pPr>
        <w:ind w:left="6480" w:hanging="360"/>
      </w:pPr>
    </w:lvl>
  </w:abstractNum>
  <w:num w:numId="1" w16cid:durableId="1241670661">
    <w:abstractNumId w:val="1"/>
    <w:lvlOverride w:ilvl="0">
      <w:startOverride w:val="1"/>
    </w:lvlOverride>
  </w:num>
  <w:num w:numId="2" w16cid:durableId="133727068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0A26"/>
    <w:rsid w:val="00080A26"/>
    <w:rsid w:val="006B6B06"/>
    <w:rsid w:val="00961FD1"/>
    <w:rsid w:val="00B33DAE"/>
    <w:rsid w:val="00C22BC6"/>
    <w:rsid w:val="00EB41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5CB5E"/>
  <w15:docId w15:val="{73D6BAC7-22BC-4274-A072-A7DDBEE61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1795</Words>
  <Characters>10235</Characters>
  <Application>Microsoft Office Word</Application>
  <DocSecurity>0</DocSecurity>
  <Lines>85</Lines>
  <Paragraphs>24</Paragraphs>
  <ScaleCrop>false</ScaleCrop>
  <Company/>
  <LinksUpToDate>false</LinksUpToDate>
  <CharactersWithSpaces>12006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Rishabh Kabra</cp:lastModifiedBy>
  <cp:revision>3</cp:revision>
  <dcterms:created xsi:type="dcterms:W3CDTF">2026-08-24T06:31:00Z</dcterms:created>
  <dcterms:modified xsi:type="dcterms:W3CDTF">2026-08-24T09:29:00Z</dcterms:modified>
</cp:coreProperties>
</file>