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37544" w14:textId="77777777" w:rsidR="00B67C71" w:rsidRPr="00B96712" w:rsidRDefault="00537808">
      <w:pPr>
        <w:spacing w:after="60"/>
        <w:rPr>
          <w:rFonts w:ascii="Calibri" w:hAnsi="Calibri" w:cs="Calibri"/>
        </w:rPr>
      </w:pPr>
      <w:r w:rsidRPr="00B96712">
        <w:rPr>
          <w:rFonts w:ascii="Calibri" w:eastAsia="Calibri" w:hAnsi="Calibri" w:cs="Calibri"/>
          <w:b/>
          <w:bCs/>
        </w:rPr>
        <w:t>Risk Factors — Shriram Nifty 1D Rate Liquid ETF</w:t>
      </w:r>
    </w:p>
    <w:p w14:paraId="41537548" w14:textId="7813B9B2" w:rsidR="00B67C71" w:rsidRPr="00B96712" w:rsidRDefault="00537808">
      <w:pPr>
        <w:pStyle w:val="Heading1"/>
        <w:spacing w:before="300" w:after="160"/>
        <w:rPr>
          <w:rFonts w:ascii="Calibri" w:hAnsi="Calibri" w:cs="Calibri"/>
          <w:sz w:val="20"/>
          <w:szCs w:val="20"/>
        </w:rPr>
      </w:pPr>
      <w:r w:rsidRPr="00B96712">
        <w:rPr>
          <w:rFonts w:ascii="Calibri" w:eastAsia="Calibri" w:hAnsi="Calibri" w:cs="Calibri"/>
          <w:b/>
          <w:bCs/>
          <w:color w:val="1F3864"/>
          <w:sz w:val="20"/>
          <w:szCs w:val="20"/>
        </w:rPr>
        <w:t xml:space="preserve">Section A — Summary Risk Factors </w:t>
      </w:r>
    </w:p>
    <w:p w14:paraId="4153754A"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Tracking Error Risk: </w:t>
      </w:r>
      <w:r w:rsidRPr="00B96712">
        <w:rPr>
          <w:rFonts w:ascii="Calibri" w:eastAsia="Calibri" w:hAnsi="Calibri" w:cs="Calibri"/>
        </w:rPr>
        <w:t>The Scheme’s returns may differ from the returns of the NIFTY 1D Rate Index due to expenses, transaction costs, cash holdings and other factors.</w:t>
      </w:r>
    </w:p>
    <w:p w14:paraId="4153754B"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Tracking Difference Risk: </w:t>
      </w:r>
      <w:r w:rsidRPr="00B96712">
        <w:rPr>
          <w:rFonts w:ascii="Calibri" w:eastAsia="Calibri" w:hAnsi="Calibri" w:cs="Calibri"/>
        </w:rPr>
        <w:t>The Scheme may underperform or outperform the underlying index over a period due to various operational and market factors.</w:t>
      </w:r>
    </w:p>
    <w:p w14:paraId="4153754C"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ETF Liquidity Risk: </w:t>
      </w:r>
      <w:r w:rsidRPr="00B96712">
        <w:rPr>
          <w:rFonts w:ascii="Calibri" w:eastAsia="Calibri" w:hAnsi="Calibri" w:cs="Calibri"/>
        </w:rPr>
        <w:t>ETF units may not always have sufficient trading liquidity on the stock exchange.</w:t>
      </w:r>
    </w:p>
    <w:p w14:paraId="4153754D"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Premium/Discount Risk: </w:t>
      </w:r>
      <w:r w:rsidRPr="00B96712">
        <w:rPr>
          <w:rFonts w:ascii="Calibri" w:eastAsia="Calibri" w:hAnsi="Calibri" w:cs="Calibri"/>
        </w:rPr>
        <w:t>ETF units may trade at a premium or discount to the Scheme’s NAV depending on market demand and supply.</w:t>
      </w:r>
    </w:p>
    <w:p w14:paraId="4153754E"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Passive Investment Risk: </w:t>
      </w:r>
      <w:r w:rsidRPr="00B96712">
        <w:rPr>
          <w:rFonts w:ascii="Calibri" w:eastAsia="Calibri" w:hAnsi="Calibri" w:cs="Calibri"/>
        </w:rPr>
        <w:t>The Scheme follows the underlying index and does not take active defensive investment decisions based on market conditions.</w:t>
      </w:r>
    </w:p>
    <w:p w14:paraId="4153754F"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Market Risk: </w:t>
      </w:r>
      <w:r w:rsidRPr="00B96712">
        <w:rPr>
          <w:rFonts w:ascii="Calibri" w:eastAsia="Calibri" w:hAnsi="Calibri" w:cs="Calibri"/>
        </w:rPr>
        <w:t>The value of the Scheme’s investments may fluctuate due to changes in market conditions.</w:t>
      </w:r>
    </w:p>
    <w:p w14:paraId="41537550"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Regulatory Risk: </w:t>
      </w:r>
      <w:r w:rsidRPr="00B96712">
        <w:rPr>
          <w:rFonts w:ascii="Calibri" w:eastAsia="Calibri" w:hAnsi="Calibri" w:cs="Calibri"/>
        </w:rPr>
        <w:t>Changes in regulations applicable to ETFs, exchanges, market makers or the underlying securities may affect the Scheme.</w:t>
      </w:r>
    </w:p>
    <w:p w14:paraId="41537551"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Liquidity/Redemption Risk: </w:t>
      </w:r>
      <w:r w:rsidRPr="00B96712">
        <w:rPr>
          <w:rFonts w:ascii="Calibri" w:eastAsia="Calibri" w:hAnsi="Calibri" w:cs="Calibri"/>
        </w:rPr>
        <w:t>Investors holding units below the specified creation unit size may generally need to transact through the secondary market.</w:t>
      </w:r>
    </w:p>
    <w:p w14:paraId="41537553" w14:textId="655C2649" w:rsidR="00B67C71" w:rsidRPr="00B96712" w:rsidRDefault="00537808" w:rsidP="001E188B">
      <w:pPr>
        <w:pStyle w:val="Heading1"/>
        <w:spacing w:before="300" w:after="160"/>
        <w:rPr>
          <w:rFonts w:ascii="Calibri" w:hAnsi="Calibri" w:cs="Calibri"/>
          <w:sz w:val="20"/>
          <w:szCs w:val="20"/>
        </w:rPr>
      </w:pPr>
      <w:r w:rsidRPr="00B96712">
        <w:rPr>
          <w:rFonts w:ascii="Calibri" w:eastAsia="Calibri" w:hAnsi="Calibri" w:cs="Calibri"/>
          <w:b/>
          <w:bCs/>
          <w:color w:val="1F3864"/>
          <w:sz w:val="20"/>
          <w:szCs w:val="20"/>
        </w:rPr>
        <w:t xml:space="preserve">Section B — Detailed Risk Factors </w:t>
      </w:r>
    </w:p>
    <w:p w14:paraId="41537554" w14:textId="77777777" w:rsidR="00B67C71" w:rsidRPr="00B96712" w:rsidRDefault="00537808">
      <w:pPr>
        <w:pStyle w:val="Heading2"/>
        <w:spacing w:before="240" w:after="120"/>
        <w:rPr>
          <w:rFonts w:ascii="Calibri" w:hAnsi="Calibri" w:cs="Calibri"/>
          <w:sz w:val="20"/>
          <w:szCs w:val="20"/>
        </w:rPr>
      </w:pPr>
      <w:r w:rsidRPr="00B96712">
        <w:rPr>
          <w:rFonts w:ascii="Calibri" w:eastAsia="Calibri" w:hAnsi="Calibri" w:cs="Calibri"/>
          <w:b/>
          <w:bCs/>
          <w:i/>
          <w:iCs/>
          <w:color w:val="2E5395"/>
          <w:sz w:val="20"/>
          <w:szCs w:val="20"/>
        </w:rPr>
        <w:t>Standard Risk Factors</w:t>
      </w:r>
    </w:p>
    <w:p w14:paraId="41537555"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rPr>
        <w:t>Investment in Mutual Fund units involves investment risks such as trading volumes, settlement risk, liquidity risk, default risk including the possible loss of principal.</w:t>
      </w:r>
    </w:p>
    <w:p w14:paraId="41537556"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rPr>
        <w:t>As the price / value / interest rate of the securities in which the Scheme invests fluctuates, the value of the investment in the scheme can go up or down depending on various factors and forces affecting capital markets and money markets.</w:t>
      </w:r>
    </w:p>
    <w:p w14:paraId="41537557"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rPr>
        <w:t>Past performance of the Sponsor / AMC / Mutual Fund does not guarantee the future performance of the Scheme.</w:t>
      </w:r>
    </w:p>
    <w:p w14:paraId="41537558"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rPr>
        <w:t>The name of the Scheme does not in any manner indicate its quality or its future prospects and returns.</w:t>
      </w:r>
    </w:p>
    <w:p w14:paraId="41537559"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rPr>
        <w:t>The Sponsor is not responsible or liable for any loss resulting from the operation of the Scheme beyond the initial contribution of Rs. 1 lakh made by it towards setting up the Fund.</w:t>
      </w:r>
    </w:p>
    <w:p w14:paraId="4153755A"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rPr>
        <w:t>The present scheme is not a guaranteed or assured return scheme.</w:t>
      </w:r>
    </w:p>
    <w:p w14:paraId="4153755B" w14:textId="77777777" w:rsidR="00B67C71" w:rsidRPr="00B96712" w:rsidRDefault="00537808">
      <w:pPr>
        <w:pStyle w:val="Heading2"/>
        <w:spacing w:before="240" w:after="120"/>
        <w:rPr>
          <w:rFonts w:ascii="Calibri" w:hAnsi="Calibri" w:cs="Calibri"/>
          <w:sz w:val="20"/>
          <w:szCs w:val="20"/>
        </w:rPr>
      </w:pPr>
      <w:r w:rsidRPr="00B96712">
        <w:rPr>
          <w:rFonts w:ascii="Calibri" w:eastAsia="Calibri" w:hAnsi="Calibri" w:cs="Calibri"/>
          <w:b/>
          <w:bCs/>
          <w:i/>
          <w:iCs/>
          <w:color w:val="2E5395"/>
          <w:sz w:val="20"/>
          <w:szCs w:val="20"/>
        </w:rPr>
        <w:t>Risk Associated with Exchange Traded Funds (ETFs)</w:t>
      </w:r>
    </w:p>
    <w:p w14:paraId="4153755C"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Absence of Prior Active Market: </w:t>
      </w:r>
      <w:r w:rsidRPr="00B96712">
        <w:rPr>
          <w:rFonts w:ascii="Calibri" w:eastAsia="Calibri" w:hAnsi="Calibri" w:cs="Calibri"/>
        </w:rPr>
        <w:t>Although the units of ETFs are listed on the Stock Exchange for trading, there can be no assurance that an active secondary market will develop or be maintained.</w:t>
      </w:r>
    </w:p>
    <w:p w14:paraId="4153755D"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Lack of Market Liquidity: </w:t>
      </w:r>
      <w:r w:rsidRPr="00B96712">
        <w:rPr>
          <w:rFonts w:ascii="Calibri" w:eastAsia="Calibri" w:hAnsi="Calibri" w:cs="Calibri"/>
        </w:rPr>
        <w:t>Trading in units of ETFs may be halted due to market conditions or exchange/regulator concerns, and may be subject to circuit-breaker trading halts. There is no assurance that listing requirements will continue to be met.</w:t>
      </w:r>
    </w:p>
    <w:p w14:paraId="4153755E"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Units May Trade at Prices Other than NAV: </w:t>
      </w:r>
      <w:r w:rsidRPr="00B96712">
        <w:rPr>
          <w:rFonts w:ascii="Calibri" w:eastAsia="Calibri" w:hAnsi="Calibri" w:cs="Calibri"/>
        </w:rPr>
        <w:t>Units of ETFs may trade above or below their NAV, fluctuating with changes in market value of holdings, market supply and demand; large discounts or premiums may not be sustainable given the creation/redemption mechanism and iNAV disclosure.</w:t>
      </w:r>
    </w:p>
    <w:p w14:paraId="4153755F"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Regulatory Risk: </w:t>
      </w:r>
      <w:r w:rsidRPr="00B96712">
        <w:rPr>
          <w:rFonts w:ascii="Calibri" w:eastAsia="Calibri" w:hAnsi="Calibri" w:cs="Calibri"/>
        </w:rPr>
        <w:t>Changes in trading regulations by the Exchange or SEBI may affect the ability of market makers to arbitrage, resulting in wider premium/discount to NAV. The AMC and Trustees are not liable for delay in listing or connectivity problems with depositories due to events beyond their control.</w:t>
      </w:r>
    </w:p>
    <w:p w14:paraId="41537560"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lastRenderedPageBreak/>
        <w:t xml:space="preserve">Political Risks: </w:t>
      </w:r>
      <w:r w:rsidRPr="00B96712">
        <w:rPr>
          <w:rFonts w:ascii="Calibri" w:eastAsia="Calibri" w:hAnsi="Calibri" w:cs="Calibri"/>
        </w:rPr>
        <w:t>Changes in the Indian political situation, including social or economic instability, diplomatic developments, and changes in laws and regulations (including expropriation or confiscatory taxation), could affect the value of investments.</w:t>
      </w:r>
    </w:p>
    <w:p w14:paraId="41537561"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Right to Limit Redemptions: </w:t>
      </w:r>
      <w:r w:rsidRPr="00B96712">
        <w:rPr>
          <w:rFonts w:ascii="Calibri" w:eastAsia="Calibri" w:hAnsi="Calibri" w:cs="Calibri"/>
        </w:rPr>
        <w:t>The Trustees may, in the general interest of unit holders and keeping in view unforeseen circumstances/unusual market conditions, limit the total number of Units that can be redeemed on any Business Day depending on the total “Saleable Underlying Stock” available with the fund.</w:t>
      </w:r>
    </w:p>
    <w:p w14:paraId="41537562"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Redemption Risk: </w:t>
      </w:r>
      <w:r w:rsidRPr="00B96712">
        <w:rPr>
          <w:rFonts w:ascii="Calibri" w:eastAsia="Calibri" w:hAnsi="Calibri" w:cs="Calibri"/>
        </w:rPr>
        <w:t>Even though this is an open-ended scheme, the Scheme would ordinarily repurchase Units in Creation Unit size; unit holdings less than the Creation Unit size can normally only be sold through the secondary market, except in specified exit-opportunity circumstances for investors other than Market Makers and Large Investors.</w:t>
      </w:r>
    </w:p>
    <w:p w14:paraId="41537563"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Asset Class Risk: </w:t>
      </w:r>
      <w:r w:rsidRPr="00B96712">
        <w:rPr>
          <w:rFonts w:ascii="Calibri" w:eastAsia="Calibri" w:hAnsi="Calibri" w:cs="Calibri"/>
        </w:rPr>
        <w:t>Returns from the types of securities in which the Scheme invests may underperform returns from general securities markets or different asset classes, which tend to go through cycles of out-performance and underperformance.</w:t>
      </w:r>
    </w:p>
    <w:p w14:paraId="41537564"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Passive Investments: </w:t>
      </w:r>
      <w:r w:rsidRPr="00B96712">
        <w:rPr>
          <w:rFonts w:ascii="Calibri" w:eastAsia="Calibri" w:hAnsi="Calibri" w:cs="Calibri"/>
        </w:rPr>
        <w:t>As the Scheme is not actively managed, underlying investments may be affected by a general decline in the Indian markets relating to its Underlying Index. The Scheme invests in securities included in the index regardless of investment merit and does not take defensive positions in declining markets.</w:t>
      </w:r>
    </w:p>
    <w:p w14:paraId="41537565"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Tracking Error / Tracking Difference Risk: </w:t>
      </w:r>
      <w:r w:rsidRPr="00B96712">
        <w:rPr>
          <w:rFonts w:ascii="Calibri" w:eastAsia="Calibri" w:hAnsi="Calibri" w:cs="Calibri"/>
        </w:rPr>
        <w:t>May arise due to expenditure incurred by the fund, holding of cash positions to meet redemptions, deployment of funds into TREPS at rates differing from the CCIL weighted average rate used for index computation, execution of large buy/sell orders, transaction cost, and realisation of unit holders’ funds.</w:t>
      </w:r>
    </w:p>
    <w:p w14:paraId="41537566" w14:textId="77777777" w:rsidR="00B67C71" w:rsidRPr="00B96712" w:rsidRDefault="00537808">
      <w:pPr>
        <w:pStyle w:val="Heading2"/>
        <w:spacing w:before="240" w:after="120"/>
        <w:rPr>
          <w:rFonts w:ascii="Calibri" w:hAnsi="Calibri" w:cs="Calibri"/>
          <w:sz w:val="20"/>
          <w:szCs w:val="20"/>
        </w:rPr>
      </w:pPr>
      <w:r w:rsidRPr="00B96712">
        <w:rPr>
          <w:rFonts w:ascii="Calibri" w:eastAsia="Calibri" w:hAnsi="Calibri" w:cs="Calibri"/>
          <w:b/>
          <w:bCs/>
          <w:i/>
          <w:iCs/>
          <w:color w:val="2E5395"/>
          <w:sz w:val="20"/>
          <w:szCs w:val="20"/>
        </w:rPr>
        <w:t>Risk Specific to Investing in Securities Forming Part of Nifty 1D Rate Index</w:t>
      </w:r>
    </w:p>
    <w:p w14:paraId="41537567"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rPr>
        <w:t>Shriram Nifty 1D Rate Liquid ETF is a passively managed ETF, i.e., the amount collected under the scheme is invested in securities comprising the underlying index in the same weightages as they have in the underlying index.</w:t>
      </w:r>
    </w:p>
    <w:p w14:paraId="41537568"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rPr>
        <w:t>The composition of the underlying index is subject to changes that may be effected periodically by the Index Service Provider.</w:t>
      </w:r>
    </w:p>
    <w:p w14:paraId="41537569"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rPr>
        <w:t>Performance of the underlying index will have a direct bearing on the performance of the scheme.</w:t>
      </w:r>
    </w:p>
    <w:p w14:paraId="4153756A"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rPr>
        <w:t>The extent of the tracking error may have an impact on the performance of the scheme.</w:t>
      </w:r>
    </w:p>
    <w:p w14:paraId="4153756B" w14:textId="77777777" w:rsidR="00B67C71" w:rsidRPr="00B96712" w:rsidRDefault="00537808">
      <w:pPr>
        <w:pStyle w:val="Heading2"/>
        <w:spacing w:before="240" w:after="120"/>
        <w:rPr>
          <w:rFonts w:ascii="Calibri" w:hAnsi="Calibri" w:cs="Calibri"/>
          <w:sz w:val="20"/>
          <w:szCs w:val="20"/>
        </w:rPr>
      </w:pPr>
      <w:r w:rsidRPr="00B96712">
        <w:rPr>
          <w:rFonts w:ascii="Calibri" w:eastAsia="Calibri" w:hAnsi="Calibri" w:cs="Calibri"/>
          <w:b/>
          <w:bCs/>
          <w:i/>
          <w:iCs/>
          <w:color w:val="2E5395"/>
          <w:sz w:val="20"/>
          <w:szCs w:val="20"/>
        </w:rPr>
        <w:t>Tracking Error Risk and Tracking Difference Risk</w:t>
      </w:r>
    </w:p>
    <w:p w14:paraId="4153756C" w14:textId="77777777" w:rsidR="00B67C71" w:rsidRPr="00B96712" w:rsidRDefault="00537808">
      <w:pPr>
        <w:spacing w:after="120"/>
        <w:rPr>
          <w:rFonts w:ascii="Calibri" w:hAnsi="Calibri" w:cs="Calibri"/>
        </w:rPr>
      </w:pPr>
      <w:r w:rsidRPr="00B96712">
        <w:rPr>
          <w:rFonts w:ascii="Calibri" w:eastAsia="Calibri" w:hAnsi="Calibri" w:cs="Calibri"/>
        </w:rPr>
        <w:t>The Fund Manager may not be able to invest the entire corpus exactly in the same proportion as the underlying index due to factors such as fees and expenses of the scheme, corporate actions, cash balance, changes to the underlying index and regulatory policies, which may affect the AMC’s ability to achieve close correlation with the underlying index. The Scheme’s returns may therefore deviate from those of its underlying index (Tracking Error). Tracking Difference is the difference of returns between the Scheme and the Benchmark Index, annualised over 1 year, 3 years, 5 years, 10 years and since the Scheme’s inception.</w:t>
      </w:r>
    </w:p>
    <w:p w14:paraId="4153756D" w14:textId="77777777" w:rsidR="00B67C71" w:rsidRPr="00B96712" w:rsidRDefault="00537808">
      <w:pPr>
        <w:spacing w:after="120"/>
        <w:rPr>
          <w:rFonts w:ascii="Calibri" w:hAnsi="Calibri" w:cs="Calibri"/>
        </w:rPr>
      </w:pPr>
      <w:r w:rsidRPr="00B96712">
        <w:rPr>
          <w:rFonts w:ascii="Calibri" w:eastAsia="Calibri" w:hAnsi="Calibri" w:cs="Calibri"/>
        </w:rPr>
        <w:t>The fund manager will endeavour to limit the tracking difference over a one-year period within 1.25%. In case the average annualised tracking difference over a 1-year period is higher than 1.25%, the same will be brought to the notice of Trustees with corrective actions taken by the AMC. There can be no assurance or guarantee that the Scheme will achieve any particular level of tracking error / difference relative to the performance of the Underlying Index.</w:t>
      </w:r>
    </w:p>
    <w:p w14:paraId="4153756E" w14:textId="77777777" w:rsidR="00B67C71" w:rsidRPr="00B96712" w:rsidRDefault="00537808">
      <w:pPr>
        <w:pStyle w:val="Heading2"/>
        <w:spacing w:before="240" w:after="120"/>
        <w:rPr>
          <w:rFonts w:ascii="Calibri" w:hAnsi="Calibri" w:cs="Calibri"/>
          <w:sz w:val="20"/>
          <w:szCs w:val="20"/>
        </w:rPr>
      </w:pPr>
      <w:r w:rsidRPr="00B96712">
        <w:rPr>
          <w:rFonts w:ascii="Calibri" w:eastAsia="Calibri" w:hAnsi="Calibri" w:cs="Calibri"/>
          <w:b/>
          <w:bCs/>
          <w:i/>
          <w:iCs/>
          <w:color w:val="2E5395"/>
          <w:sz w:val="20"/>
          <w:szCs w:val="20"/>
        </w:rPr>
        <w:t>Risks Associated with Debt and Money Market Instruments / Fixed Income Securities</w:t>
      </w:r>
    </w:p>
    <w:p w14:paraId="4153756F"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Credit Risk: </w:t>
      </w:r>
      <w:r w:rsidRPr="00B96712">
        <w:rPr>
          <w:rFonts w:ascii="Calibri" w:eastAsia="Calibri" w:hAnsi="Calibri" w:cs="Calibri"/>
        </w:rPr>
        <w:t>The risk associated with the issuer of a debenture/bond or money market instrument defaulting on coupon payments or repayment of principal at maturity. Even absent default, prices may change with expected changes in the issuer’s credit rating. Government Securities are the safest; corporate bonds carry higher credit risk, and a bond rated higher by a rating agency is safer than one rated lower by the same agency.</w:t>
      </w:r>
    </w:p>
    <w:p w14:paraId="41537570"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Price-Risk / Interest-Rate Risk: </w:t>
      </w:r>
      <w:r w:rsidRPr="00B96712">
        <w:rPr>
          <w:rFonts w:ascii="Calibri" w:eastAsia="Calibri" w:hAnsi="Calibri" w:cs="Calibri"/>
        </w:rPr>
        <w:t xml:space="preserve">Fixed income securities run price-risk — generally, when interest rates rise, prices of fixed income securities fall, and vice versa. The extent of movement depends on existing coupon, payment frequency, days to maturity and change in interest rate levels. However, debt securities in the scheme are intended </w:t>
      </w:r>
      <w:r w:rsidRPr="00B96712">
        <w:rPr>
          <w:rFonts w:ascii="Calibri" w:eastAsia="Calibri" w:hAnsi="Calibri" w:cs="Calibri"/>
        </w:rPr>
        <w:lastRenderedPageBreak/>
        <w:t>to be held till maturity, at which point there is no interest rate risk at the end of the tenure. Floating rate government securities have the least sensitivity to interest rate movements.</w:t>
      </w:r>
    </w:p>
    <w:p w14:paraId="41537571"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Liquidity Risk: </w:t>
      </w:r>
      <w:r w:rsidRPr="00B96712">
        <w:rPr>
          <w:rFonts w:ascii="Calibri" w:eastAsia="Calibri" w:hAnsi="Calibri" w:cs="Calibri"/>
        </w:rPr>
        <w:t>A large percentage of total traded volumes on particular days may be concentrated in a few securities in the Indian debt market; the scheme might have to incur a significant “impact cost” while transacting large volumes in a particular security.</w:t>
      </w:r>
    </w:p>
    <w:p w14:paraId="41537572"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Reinvestment Risk: </w:t>
      </w:r>
      <w:r w:rsidRPr="00B96712">
        <w:rPr>
          <w:rFonts w:ascii="Calibri" w:eastAsia="Calibri" w:hAnsi="Calibri" w:cs="Calibri"/>
        </w:rPr>
        <w:t>Investments in fixed income securities carry reinvestment risk, as interest rates prevailing on coupon payment or maturity dates may differ from the original coupon of the bond.</w:t>
      </w:r>
    </w:p>
    <w:p w14:paraId="41537573"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Basis Risk: </w:t>
      </w:r>
      <w:r w:rsidRPr="00B96712">
        <w:rPr>
          <w:rFonts w:ascii="Calibri" w:eastAsia="Calibri" w:hAnsi="Calibri" w:cs="Calibri"/>
        </w:rPr>
        <w:t>The underlying benchmark of a floating rate security or a swap might become less active or may cease to exist, and thus may not capture exact interest rate movements, potentially resulting in loss of portfolio value.</w:t>
      </w:r>
    </w:p>
    <w:p w14:paraId="41537574"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Spread Risk: </w:t>
      </w:r>
      <w:r w:rsidRPr="00B96712">
        <w:rPr>
          <w:rFonts w:ascii="Calibri" w:eastAsia="Calibri" w:hAnsi="Calibri" w:cs="Calibri"/>
        </w:rPr>
        <w:t>In a floating rate security, the coupon is expressed as a spread over the benchmark rate; the spread may move adversely or favourably during the tenure of the security, leading to fluctuations in portfolio value even where the underlying benchmark yield does not change.</w:t>
      </w:r>
    </w:p>
    <w:p w14:paraId="41537575"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Risk of Rating Migration: </w:t>
      </w:r>
      <w:r w:rsidRPr="00B96712">
        <w:rPr>
          <w:rFonts w:ascii="Calibri" w:eastAsia="Calibri" w:hAnsi="Calibri" w:cs="Calibri"/>
        </w:rPr>
        <w:t>The price of a rated security is impacted by changes in its credit rating — a downgrade reduces market value while an upgrade increases it, as illustrated in the SID with a hypothetical AA-rated security example.</w:t>
      </w:r>
    </w:p>
    <w:p w14:paraId="41537576"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Counterparty and Settlement Risk: </w:t>
      </w:r>
      <w:r w:rsidRPr="00B96712">
        <w:rPr>
          <w:rFonts w:ascii="Calibri" w:eastAsia="Calibri" w:hAnsi="Calibri" w:cs="Calibri"/>
        </w:rPr>
        <w:t>The probability that the other party may not fulfil its part of the deal and may default on contractual obligations, comprising both credit and liquidity risk. Corporate Bond Repo is settled bilaterally in the OTC segment (unlike TREPS, where CCIL is the central counterparty with no settlement risk); settlement risk in reverse repo is mitigated by requiring the counterparty to deliver collateral before cash is lent, and the Mutual Fund maintains a limited universe of counterparties (Scheduled Commercial Banks, Primary Dealers, Mutual Funds and National Financial Institutions).</w:t>
      </w:r>
    </w:p>
    <w:p w14:paraId="41537577"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Legislative Risk: </w:t>
      </w:r>
      <w:r w:rsidRPr="00B96712">
        <w:rPr>
          <w:rFonts w:ascii="Calibri" w:eastAsia="Calibri" w:hAnsi="Calibri" w:cs="Calibri"/>
        </w:rPr>
        <w:t>Changes in government policy in general, and changes in tax benefits applicable to Mutual Funds, may impact returns to investors in the scheme.</w:t>
      </w:r>
    </w:p>
    <w:p w14:paraId="41537578"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Prepayment Risk: </w:t>
      </w:r>
      <w:r w:rsidRPr="00B96712">
        <w:rPr>
          <w:rFonts w:ascii="Calibri" w:eastAsia="Calibri" w:hAnsi="Calibri" w:cs="Calibri"/>
        </w:rPr>
        <w:t>Certain fixed income securities give an issuer the right to call back securities before maturity in periods of declining interest rates; such prepayment may force the fund to reinvest proceeds at lower yields, reducing interest income.</w:t>
      </w:r>
    </w:p>
    <w:p w14:paraId="41537579"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b/>
          <w:bCs/>
        </w:rPr>
        <w:t xml:space="preserve">Instrument-Level Risk: </w:t>
      </w:r>
      <w:r w:rsidRPr="00B96712">
        <w:rPr>
          <w:rFonts w:ascii="Calibri" w:eastAsia="Calibri" w:hAnsi="Calibri" w:cs="Calibri"/>
        </w:rPr>
        <w:t>Different types of securities carry different levels and types of risk depending on the scheme’s investment pattern; corporate bonds carry higher risk than Government securities, and AA-rated corporate bonds are riskier than AAA-rated bonds.</w:t>
      </w:r>
    </w:p>
    <w:p w14:paraId="4153757A" w14:textId="77777777" w:rsidR="00B67C71" w:rsidRPr="00B96712" w:rsidRDefault="00537808">
      <w:pPr>
        <w:pStyle w:val="Heading2"/>
        <w:spacing w:before="240" w:after="120"/>
        <w:rPr>
          <w:rFonts w:ascii="Calibri" w:hAnsi="Calibri" w:cs="Calibri"/>
          <w:sz w:val="20"/>
          <w:szCs w:val="20"/>
        </w:rPr>
      </w:pPr>
      <w:r w:rsidRPr="00B96712">
        <w:rPr>
          <w:rFonts w:ascii="Calibri" w:eastAsia="Calibri" w:hAnsi="Calibri" w:cs="Calibri"/>
          <w:b/>
          <w:bCs/>
          <w:i/>
          <w:iCs/>
          <w:color w:val="2E5395"/>
          <w:sz w:val="20"/>
          <w:szCs w:val="20"/>
        </w:rPr>
        <w:t>Risks Associated with Investing in Tri-Party Repo through CCIL (TREPS)</w:t>
      </w:r>
    </w:p>
    <w:p w14:paraId="4153757B" w14:textId="77777777" w:rsidR="00B67C71" w:rsidRPr="00B96712" w:rsidRDefault="00537808">
      <w:pPr>
        <w:spacing w:after="120"/>
        <w:rPr>
          <w:rFonts w:ascii="Calibri" w:hAnsi="Calibri" w:cs="Calibri"/>
        </w:rPr>
      </w:pPr>
      <w:r w:rsidRPr="00B96712">
        <w:rPr>
          <w:rFonts w:ascii="Calibri" w:eastAsia="Calibri" w:hAnsi="Calibri" w:cs="Calibri"/>
        </w:rPr>
        <w:t>The mutual fund is a constituent member of the securities segment and Tri-Party Repo trade settlement of the Clearing Corporation of India (CCIL). Transactions are settled centrally through CCIL’s infrastructure, reducing settlement and counterparty risk. CCIL maintains prefunded resources across clearing segments to cover potential losses from a defaulting member, utilised in a sequence known as the “Default Waterfall.” After the defaulter’s margins and contribution to the default fund are appropriated, CCIL’s own contribution is used; any residual loss is thereafter appropriated from the default fund contributions of non-defaulting members. The Scheme is thus subject to the risk of its initial margin and default fund contribution being invoked in the event of a settlement failure, including use of its contribution to meet residual losses caused by another defaulting member. CCIL periodically prescribes eligible collateral securities; presently, Central Government securities and Treasury bills are accepted, and this may change if CCIL notifies other securities as eligible.</w:t>
      </w:r>
    </w:p>
    <w:p w14:paraId="4153757C" w14:textId="77777777" w:rsidR="00B67C71" w:rsidRPr="00B96712" w:rsidRDefault="00537808">
      <w:pPr>
        <w:pStyle w:val="Heading2"/>
        <w:spacing w:before="240" w:after="120"/>
        <w:rPr>
          <w:rFonts w:ascii="Calibri" w:hAnsi="Calibri" w:cs="Calibri"/>
          <w:sz w:val="20"/>
          <w:szCs w:val="20"/>
        </w:rPr>
      </w:pPr>
      <w:r w:rsidRPr="00B96712">
        <w:rPr>
          <w:rFonts w:ascii="Calibri" w:eastAsia="Calibri" w:hAnsi="Calibri" w:cs="Calibri"/>
          <w:b/>
          <w:bCs/>
          <w:i/>
          <w:iCs/>
          <w:color w:val="2E5395"/>
          <w:sz w:val="20"/>
          <w:szCs w:val="20"/>
        </w:rPr>
        <w:t>Risks Associated with Investing in Government of India Securities</w:t>
      </w:r>
    </w:p>
    <w:p w14:paraId="4153757D" w14:textId="77777777" w:rsidR="00B67C71" w:rsidRPr="00B96712" w:rsidRDefault="00537808">
      <w:pPr>
        <w:spacing w:after="120"/>
        <w:rPr>
          <w:rFonts w:ascii="Calibri" w:hAnsi="Calibri" w:cs="Calibri"/>
        </w:rPr>
      </w:pPr>
      <w:r w:rsidRPr="00B96712">
        <w:rPr>
          <w:rFonts w:ascii="Calibri" w:eastAsia="Calibri" w:hAnsi="Calibri" w:cs="Calibri"/>
        </w:rPr>
        <w:t>Even though the Government of India Securities market is more liquid compared to other debt instruments, on certain occasions there could be difficulties in transacting due to extreme volatility leading to constriction in market volumes. The liquidity of the Scheme may also suffer if relevant RBI guidelines undergo adverse changes.</w:t>
      </w:r>
    </w:p>
    <w:p w14:paraId="4153757E" w14:textId="77777777" w:rsidR="00B67C71" w:rsidRPr="00B96712" w:rsidRDefault="00537808">
      <w:pPr>
        <w:pStyle w:val="Heading2"/>
        <w:spacing w:before="240" w:after="120"/>
        <w:rPr>
          <w:rFonts w:ascii="Calibri" w:hAnsi="Calibri" w:cs="Calibri"/>
          <w:sz w:val="20"/>
          <w:szCs w:val="20"/>
        </w:rPr>
      </w:pPr>
      <w:r w:rsidRPr="00B96712">
        <w:rPr>
          <w:rFonts w:ascii="Calibri" w:eastAsia="Calibri" w:hAnsi="Calibri" w:cs="Calibri"/>
          <w:b/>
          <w:bCs/>
          <w:i/>
          <w:iCs/>
          <w:color w:val="2E5395"/>
          <w:sz w:val="20"/>
          <w:szCs w:val="20"/>
        </w:rPr>
        <w:t>Risk Factors Associated with Processing of Transactions through Stock Exchange Mechanism</w:t>
      </w:r>
    </w:p>
    <w:p w14:paraId="4153757F" w14:textId="77777777" w:rsidR="00B67C71" w:rsidRPr="00B96712" w:rsidRDefault="00537808">
      <w:pPr>
        <w:spacing w:after="120"/>
        <w:rPr>
          <w:rFonts w:ascii="Calibri" w:hAnsi="Calibri" w:cs="Calibri"/>
        </w:rPr>
      </w:pPr>
      <w:r w:rsidRPr="00B96712">
        <w:rPr>
          <w:rFonts w:ascii="Calibri" w:eastAsia="Calibri" w:hAnsi="Calibri" w:cs="Calibri"/>
        </w:rPr>
        <w:t xml:space="preserve">The trading mechanism introduced by the Stock Exchange(s) is configured to accept and process transactions for mutual fund Units in both Physical and Demat form. Allotment and/or redemption of Units through NSE and/or BSE or any other authorised Stock Exchange(s) on any Business Day will depend upon the modalities of processing (collection of application </w:t>
      </w:r>
      <w:r w:rsidRPr="00B96712">
        <w:rPr>
          <w:rFonts w:ascii="Calibri" w:eastAsia="Calibri" w:hAnsi="Calibri" w:cs="Calibri"/>
        </w:rPr>
        <w:lastRenderedPageBreak/>
        <w:t>forms, order processing/settlement, etc.) over which the Fund has no control. Transactions conducted through the Stock Exchange mechanism are governed by the operating guidelines and directives of the respective recognised Stock Exchange(s); accordingly, there could be negative impacts to investors such as delay or failure in allotment/redemption of units, for which the Fund and the AMC are not responsible.</w:t>
      </w:r>
    </w:p>
    <w:p w14:paraId="41537580" w14:textId="77777777" w:rsidR="00B67C71" w:rsidRPr="00B96712" w:rsidRDefault="00537808">
      <w:pPr>
        <w:pStyle w:val="Heading2"/>
        <w:spacing w:before="240" w:after="120"/>
        <w:rPr>
          <w:rFonts w:ascii="Calibri" w:hAnsi="Calibri" w:cs="Calibri"/>
          <w:sz w:val="20"/>
          <w:szCs w:val="20"/>
        </w:rPr>
      </w:pPr>
      <w:r w:rsidRPr="00B96712">
        <w:rPr>
          <w:rFonts w:ascii="Calibri" w:eastAsia="Calibri" w:hAnsi="Calibri" w:cs="Calibri"/>
          <w:b/>
          <w:bCs/>
          <w:i/>
          <w:iCs/>
          <w:color w:val="2E5395"/>
          <w:sz w:val="20"/>
          <w:szCs w:val="20"/>
        </w:rPr>
        <w:t>Risks Associated with Segregated Portfolio</w:t>
      </w:r>
    </w:p>
    <w:p w14:paraId="41537581"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rPr>
        <w:t>Investors holding units of a segregated portfolio may not be able to liquidate their holding till the time of recovery of money from the issuer.</w:t>
      </w:r>
    </w:p>
    <w:p w14:paraId="41537582"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rPr>
        <w:t>Securities comprising the segregated portfolio may not realise any value.</w:t>
      </w:r>
    </w:p>
    <w:p w14:paraId="41537583" w14:textId="77777777" w:rsidR="00B67C71" w:rsidRPr="00B96712" w:rsidRDefault="00537808">
      <w:pPr>
        <w:pStyle w:val="ListParagraph"/>
        <w:numPr>
          <w:ilvl w:val="0"/>
          <w:numId w:val="2"/>
        </w:numPr>
        <w:spacing w:after="120"/>
        <w:rPr>
          <w:rFonts w:ascii="Calibri" w:hAnsi="Calibri" w:cs="Calibri"/>
        </w:rPr>
      </w:pPr>
      <w:r w:rsidRPr="00B96712">
        <w:rPr>
          <w:rFonts w:ascii="Calibri" w:eastAsia="Calibri" w:hAnsi="Calibri" w:cs="Calibri"/>
        </w:rPr>
        <w:t>Listing of units of the segregated portfolio on a recognised stock exchange does not necessarily guarantee their liquidity; there may not be active trading of units, and the trading price on the stock market may be significantly lower than the prevailing NAV.</w:t>
      </w:r>
    </w:p>
    <w:p w14:paraId="41537584" w14:textId="77777777" w:rsidR="00B67C71" w:rsidRPr="00B96712" w:rsidRDefault="00537808">
      <w:pPr>
        <w:pStyle w:val="Heading2"/>
        <w:spacing w:before="240" w:after="120"/>
        <w:rPr>
          <w:rFonts w:ascii="Calibri" w:hAnsi="Calibri" w:cs="Calibri"/>
          <w:sz w:val="20"/>
          <w:szCs w:val="20"/>
        </w:rPr>
      </w:pPr>
      <w:r w:rsidRPr="00B96712">
        <w:rPr>
          <w:rFonts w:ascii="Calibri" w:eastAsia="Calibri" w:hAnsi="Calibri" w:cs="Calibri"/>
          <w:b/>
          <w:bCs/>
          <w:i/>
          <w:iCs/>
          <w:color w:val="2E5395"/>
          <w:sz w:val="20"/>
          <w:szCs w:val="20"/>
        </w:rPr>
        <w:t>Risk Associated while Transacting through Email (Applicable for Non-Individual Investors)</w:t>
      </w:r>
    </w:p>
    <w:p w14:paraId="41537585" w14:textId="77777777" w:rsidR="00B67C71" w:rsidRPr="00B96712" w:rsidRDefault="00537808">
      <w:pPr>
        <w:spacing w:after="120"/>
        <w:rPr>
          <w:rFonts w:ascii="Calibri" w:hAnsi="Calibri" w:cs="Calibri"/>
        </w:rPr>
      </w:pPr>
      <w:r w:rsidRPr="00B96712">
        <w:rPr>
          <w:rFonts w:ascii="Calibri" w:eastAsia="Calibri" w:hAnsi="Calibri" w:cs="Calibri"/>
        </w:rPr>
        <w:t>The AMC allows investors to transact in mutual fund units through email. Email-based instructions are inherently vulnerable to risks such as interception, unauthorised access, phishing, spoofing, failed delivery and unintended transmission, and investors should ensure appropriate safeguards are in place. The AMC does not accept any responsibility or liability for any loss, damage or inconvenience caused due to errors, delays, non-receipt or unauthorised access associated with transacting through email.</w:t>
      </w:r>
    </w:p>
    <w:p w14:paraId="41537595" w14:textId="6BDC65A4" w:rsidR="00B67C71" w:rsidRPr="00B96712" w:rsidRDefault="00B67C71">
      <w:pPr>
        <w:spacing w:before="200"/>
        <w:rPr>
          <w:rFonts w:ascii="Calibri" w:hAnsi="Calibri" w:cs="Calibri"/>
        </w:rPr>
      </w:pPr>
    </w:p>
    <w:sectPr w:rsidR="00B67C71" w:rsidRPr="00B96712">
      <w:pgSz w:w="12240" w:h="15840"/>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61293"/>
    <w:multiLevelType w:val="hybridMultilevel"/>
    <w:tmpl w:val="05EEBFF0"/>
    <w:lvl w:ilvl="0" w:tplc="D0CCC7DA">
      <w:start w:val="1"/>
      <w:numFmt w:val="bullet"/>
      <w:lvlText w:val="●"/>
      <w:lvlJc w:val="left"/>
      <w:pPr>
        <w:ind w:left="720" w:hanging="360"/>
      </w:pPr>
    </w:lvl>
    <w:lvl w:ilvl="1" w:tplc="712E7B72">
      <w:start w:val="1"/>
      <w:numFmt w:val="bullet"/>
      <w:lvlText w:val="○"/>
      <w:lvlJc w:val="left"/>
      <w:pPr>
        <w:ind w:left="1440" w:hanging="360"/>
      </w:pPr>
    </w:lvl>
    <w:lvl w:ilvl="2" w:tplc="347E379E">
      <w:start w:val="1"/>
      <w:numFmt w:val="bullet"/>
      <w:lvlText w:val="■"/>
      <w:lvlJc w:val="left"/>
      <w:pPr>
        <w:ind w:left="2160" w:hanging="360"/>
      </w:pPr>
    </w:lvl>
    <w:lvl w:ilvl="3" w:tplc="075CD7CE">
      <w:start w:val="1"/>
      <w:numFmt w:val="bullet"/>
      <w:lvlText w:val="●"/>
      <w:lvlJc w:val="left"/>
      <w:pPr>
        <w:ind w:left="2880" w:hanging="360"/>
      </w:pPr>
    </w:lvl>
    <w:lvl w:ilvl="4" w:tplc="A65EF2B2">
      <w:start w:val="1"/>
      <w:numFmt w:val="bullet"/>
      <w:lvlText w:val="○"/>
      <w:lvlJc w:val="left"/>
      <w:pPr>
        <w:ind w:left="3600" w:hanging="360"/>
      </w:pPr>
    </w:lvl>
    <w:lvl w:ilvl="5" w:tplc="4A364692">
      <w:start w:val="1"/>
      <w:numFmt w:val="bullet"/>
      <w:lvlText w:val="■"/>
      <w:lvlJc w:val="left"/>
      <w:pPr>
        <w:ind w:left="4320" w:hanging="360"/>
      </w:pPr>
    </w:lvl>
    <w:lvl w:ilvl="6" w:tplc="CB867C54">
      <w:start w:val="1"/>
      <w:numFmt w:val="bullet"/>
      <w:lvlText w:val="●"/>
      <w:lvlJc w:val="left"/>
      <w:pPr>
        <w:ind w:left="5040" w:hanging="360"/>
      </w:pPr>
    </w:lvl>
    <w:lvl w:ilvl="7" w:tplc="32509AAA">
      <w:start w:val="1"/>
      <w:numFmt w:val="bullet"/>
      <w:lvlText w:val="●"/>
      <w:lvlJc w:val="left"/>
      <w:pPr>
        <w:ind w:left="5760" w:hanging="360"/>
      </w:pPr>
    </w:lvl>
    <w:lvl w:ilvl="8" w:tplc="114272F0">
      <w:start w:val="1"/>
      <w:numFmt w:val="bullet"/>
      <w:lvlText w:val="●"/>
      <w:lvlJc w:val="left"/>
      <w:pPr>
        <w:ind w:left="6480" w:hanging="360"/>
      </w:pPr>
    </w:lvl>
  </w:abstractNum>
  <w:abstractNum w:abstractNumId="1" w15:restartNumberingAfterBreak="0">
    <w:nsid w:val="66372563"/>
    <w:multiLevelType w:val="hybridMultilevel"/>
    <w:tmpl w:val="F41C69B6"/>
    <w:lvl w:ilvl="0" w:tplc="F66C267C">
      <w:start w:val="1"/>
      <w:numFmt w:val="bullet"/>
      <w:lvlText w:val="•"/>
      <w:lvlJc w:val="left"/>
      <w:pPr>
        <w:ind w:left="504" w:hanging="288"/>
      </w:pPr>
    </w:lvl>
    <w:lvl w:ilvl="1" w:tplc="CD1E9E36">
      <w:start w:val="1"/>
      <w:numFmt w:val="bullet"/>
      <w:lvlText w:val="◦"/>
      <w:lvlJc w:val="left"/>
      <w:pPr>
        <w:ind w:left="1008" w:hanging="288"/>
      </w:pPr>
    </w:lvl>
    <w:lvl w:ilvl="2" w:tplc="14F8F6FE">
      <w:numFmt w:val="decimal"/>
      <w:lvlText w:val=""/>
      <w:lvlJc w:val="left"/>
    </w:lvl>
    <w:lvl w:ilvl="3" w:tplc="2F46DAD8">
      <w:numFmt w:val="decimal"/>
      <w:lvlText w:val=""/>
      <w:lvlJc w:val="left"/>
    </w:lvl>
    <w:lvl w:ilvl="4" w:tplc="47DE7508">
      <w:numFmt w:val="decimal"/>
      <w:lvlText w:val=""/>
      <w:lvlJc w:val="left"/>
    </w:lvl>
    <w:lvl w:ilvl="5" w:tplc="596CD7B4">
      <w:numFmt w:val="decimal"/>
      <w:lvlText w:val=""/>
      <w:lvlJc w:val="left"/>
    </w:lvl>
    <w:lvl w:ilvl="6" w:tplc="A3521E50">
      <w:numFmt w:val="decimal"/>
      <w:lvlText w:val=""/>
      <w:lvlJc w:val="left"/>
    </w:lvl>
    <w:lvl w:ilvl="7" w:tplc="6D220DA6">
      <w:numFmt w:val="decimal"/>
      <w:lvlText w:val=""/>
      <w:lvlJc w:val="left"/>
    </w:lvl>
    <w:lvl w:ilvl="8" w:tplc="12FCCCA4">
      <w:numFmt w:val="decimal"/>
      <w:lvlText w:val=""/>
      <w:lvlJc w:val="left"/>
    </w:lvl>
  </w:abstractNum>
  <w:num w:numId="1" w16cid:durableId="1514108732">
    <w:abstractNumId w:val="0"/>
    <w:lvlOverride w:ilvl="0">
      <w:startOverride w:val="1"/>
    </w:lvlOverride>
  </w:num>
  <w:num w:numId="2" w16cid:durableId="96365631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C71"/>
    <w:rsid w:val="001E188B"/>
    <w:rsid w:val="002C086D"/>
    <w:rsid w:val="00537808"/>
    <w:rsid w:val="00B67C71"/>
    <w:rsid w:val="00B96712"/>
    <w:rsid w:val="00D91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37544"/>
  <w15:docId w15:val="{A8E86D39-113B-4695-8B00-6F577BBB7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2064</Words>
  <Characters>11768</Characters>
  <Application>Microsoft Office Word</Application>
  <DocSecurity>0</DocSecurity>
  <Lines>98</Lines>
  <Paragraphs>27</Paragraphs>
  <ScaleCrop>false</ScaleCrop>
  <Company/>
  <LinksUpToDate>false</LinksUpToDate>
  <CharactersWithSpaces>13805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Rishabh Kabra</cp:lastModifiedBy>
  <cp:revision>3</cp:revision>
  <dcterms:created xsi:type="dcterms:W3CDTF">2026-08-24T06:35:00Z</dcterms:created>
  <dcterms:modified xsi:type="dcterms:W3CDTF">2026-08-24T09:29:00Z</dcterms:modified>
</cp:coreProperties>
</file>