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0E15" w14:textId="77777777" w:rsidR="00A11ACA" w:rsidRPr="00D7115E" w:rsidRDefault="00F51219" w:rsidP="00E011DF">
      <w:pPr>
        <w:spacing w:after="40"/>
        <w:rPr>
          <w:rFonts w:ascii="Calibri" w:hAnsi="Calibri" w:cs="Calibri"/>
        </w:rPr>
      </w:pPr>
      <w:r w:rsidRPr="00D7115E">
        <w:rPr>
          <w:rFonts w:ascii="Calibri" w:hAnsi="Calibri" w:cs="Calibri"/>
          <w:b/>
          <w:bCs/>
        </w:rPr>
        <w:t>Risk Factors — Shriram Multi Sector Rotation Fund</w:t>
      </w:r>
    </w:p>
    <w:p w14:paraId="7F830E19" w14:textId="00493ECF" w:rsidR="00A11ACA" w:rsidRPr="00D7115E" w:rsidRDefault="00F51219">
      <w:pPr>
        <w:pStyle w:val="Heading1"/>
        <w:spacing w:before="240" w:after="120"/>
        <w:rPr>
          <w:rFonts w:ascii="Calibri" w:hAnsi="Calibri" w:cs="Calibri"/>
          <w:sz w:val="20"/>
          <w:szCs w:val="20"/>
        </w:rPr>
      </w:pPr>
      <w:r w:rsidRPr="00D7115E">
        <w:rPr>
          <w:rFonts w:ascii="Calibri" w:hAnsi="Calibri" w:cs="Calibri"/>
          <w:b/>
          <w:bCs/>
          <w:sz w:val="20"/>
          <w:szCs w:val="20"/>
        </w:rPr>
        <w:t>Section A — Summary Risk Factors</w:t>
      </w:r>
    </w:p>
    <w:p w14:paraId="7F830E1B"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Sector Concentration Risk: </w:t>
      </w:r>
      <w:r w:rsidRPr="00D7115E">
        <w:rPr>
          <w:rFonts w:ascii="Calibri" w:hAnsi="Calibri" w:cs="Calibri"/>
        </w:rPr>
        <w:t>Concentration in selected sectors may result in higher portfolio volatility and greater impact from adverse sector-specific developments.</w:t>
      </w:r>
    </w:p>
    <w:p w14:paraId="7F830E1C"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Sector Rotation Risk: </w:t>
      </w:r>
      <w:r w:rsidRPr="00D7115E">
        <w:rPr>
          <w:rFonts w:ascii="Calibri" w:hAnsi="Calibri" w:cs="Calibri"/>
        </w:rPr>
        <w:t>The selected sectors may underperform if the sector rotation strategy does not correctly identify the sectors expected to outperform.</w:t>
      </w:r>
    </w:p>
    <w:p w14:paraId="7F830E1D"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Equity Market Risk: </w:t>
      </w:r>
      <w:r w:rsidRPr="00D7115E">
        <w:rPr>
          <w:rFonts w:ascii="Calibri" w:hAnsi="Calibri" w:cs="Calibri"/>
        </w:rPr>
        <w:t>Equity investments are subject to market volatility and company-specific risks.</w:t>
      </w:r>
    </w:p>
    <w:p w14:paraId="7F830E1E"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Model Risk: </w:t>
      </w:r>
      <w:r w:rsidRPr="00D7115E">
        <w:rPr>
          <w:rFonts w:ascii="Calibri" w:hAnsi="Calibri" w:cs="Calibri"/>
        </w:rPr>
        <w:t>Investment decisions based on quantitative/fundamental models may not always produce the expected results.</w:t>
      </w:r>
    </w:p>
    <w:p w14:paraId="7F830E1F"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Liquidity Risk: </w:t>
      </w:r>
      <w:r w:rsidRPr="00D7115E">
        <w:rPr>
          <w:rFonts w:ascii="Calibri" w:hAnsi="Calibri" w:cs="Calibri"/>
        </w:rPr>
        <w:t>Securities in selected sectors may have limited liquidity, particularly during stressed market conditions.</w:t>
      </w:r>
    </w:p>
    <w:p w14:paraId="7F830E20"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Derivative Risk: </w:t>
      </w:r>
      <w:r w:rsidRPr="00D7115E">
        <w:rPr>
          <w:rFonts w:ascii="Calibri" w:hAnsi="Calibri" w:cs="Calibri"/>
        </w:rPr>
        <w:t>Derivative transactions may involve leverage, valuation, liquidity and counterparty risks.</w:t>
      </w:r>
    </w:p>
    <w:p w14:paraId="7F830E21"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Interest Rate Risk: </w:t>
      </w:r>
      <w:r w:rsidRPr="00D7115E">
        <w:rPr>
          <w:rFonts w:ascii="Calibri" w:hAnsi="Calibri" w:cs="Calibri"/>
        </w:rPr>
        <w:t>Debt and money-market investments may be affected by changes in interest rates.</w:t>
      </w:r>
    </w:p>
    <w:p w14:paraId="7F830E22"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Credit Risk: </w:t>
      </w:r>
      <w:r w:rsidRPr="00D7115E">
        <w:rPr>
          <w:rFonts w:ascii="Calibri" w:hAnsi="Calibri" w:cs="Calibri"/>
        </w:rPr>
        <w:t>Debt securities are subject to issuer default and deterioration in credit quality.</w:t>
      </w:r>
    </w:p>
    <w:p w14:paraId="7F830E24" w14:textId="31160ADF" w:rsidR="00A11ACA" w:rsidRPr="00D7115E" w:rsidRDefault="00F51219" w:rsidP="00EF7933">
      <w:pPr>
        <w:pStyle w:val="Heading1"/>
        <w:spacing w:before="240" w:after="120"/>
        <w:rPr>
          <w:rFonts w:ascii="Calibri" w:hAnsi="Calibri" w:cs="Calibri"/>
          <w:sz w:val="20"/>
          <w:szCs w:val="20"/>
        </w:rPr>
      </w:pPr>
      <w:r w:rsidRPr="00D7115E">
        <w:rPr>
          <w:rFonts w:ascii="Calibri" w:hAnsi="Calibri" w:cs="Calibri"/>
          <w:b/>
          <w:bCs/>
          <w:sz w:val="20"/>
          <w:szCs w:val="20"/>
        </w:rPr>
        <w:t xml:space="preserve">Section B — Detailed Risk Factors </w:t>
      </w:r>
    </w:p>
    <w:p w14:paraId="7F830E25" w14:textId="77777777" w:rsidR="00A11ACA" w:rsidRPr="00D7115E" w:rsidRDefault="00F51219">
      <w:pPr>
        <w:spacing w:before="200" w:after="120"/>
        <w:rPr>
          <w:rFonts w:ascii="Calibri" w:hAnsi="Calibri" w:cs="Calibri"/>
        </w:rPr>
      </w:pPr>
      <w:r w:rsidRPr="00D7115E">
        <w:rPr>
          <w:rFonts w:ascii="Calibri" w:hAnsi="Calibri" w:cs="Calibri"/>
          <w:b/>
          <w:bCs/>
          <w:i/>
          <w:iCs/>
        </w:rPr>
        <w:t>1. Standard Risk Factors</w:t>
      </w:r>
    </w:p>
    <w:p w14:paraId="7F830E26"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Investment in Mutual Fund units involves investment risks such as trading volumes, settlement risk, liquidity risk, default risk including the possible loss of principal.</w:t>
      </w:r>
    </w:p>
    <w:p w14:paraId="7F830E27"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As the price / value / interest rate of the securities in which the Scheme invests fluctuates, the value of the investment in the scheme can go up or down depending on various factors and forces affecting capital markets and money markets.</w:t>
      </w:r>
    </w:p>
    <w:p w14:paraId="7F830E28"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Past performance of the Sponsor / AMC / Mutual Fund does not guarantee the future performance of the Scheme.</w:t>
      </w:r>
    </w:p>
    <w:p w14:paraId="7F830E29"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Scheme does not in any manner indicate its quality or its future prospects and returns.</w:t>
      </w:r>
    </w:p>
    <w:p w14:paraId="7F830E2A"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Sponsor is not responsible or liable for any loss resulting from the operation of the Scheme beyond the initial contribution of Rs. 1.00 lakh made by it towards setting up Shriram Mutual Fund.</w:t>
      </w:r>
    </w:p>
    <w:p w14:paraId="7F830E2B"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present scheme is not a guaranteed or assured return scheme.</w:t>
      </w:r>
    </w:p>
    <w:p w14:paraId="7F830E2C" w14:textId="77777777" w:rsidR="00A11ACA" w:rsidRPr="00D7115E" w:rsidRDefault="00F51219">
      <w:pPr>
        <w:spacing w:before="200" w:after="120"/>
        <w:rPr>
          <w:rFonts w:ascii="Calibri" w:hAnsi="Calibri" w:cs="Calibri"/>
        </w:rPr>
      </w:pPr>
      <w:r w:rsidRPr="00D7115E">
        <w:rPr>
          <w:rFonts w:ascii="Calibri" w:hAnsi="Calibri" w:cs="Calibri"/>
          <w:b/>
          <w:bCs/>
          <w:i/>
          <w:iCs/>
        </w:rPr>
        <w:t>2. Scheme-Specific Risk Factors</w:t>
      </w:r>
    </w:p>
    <w:p w14:paraId="7F830E2D" w14:textId="77777777" w:rsidR="00A11ACA" w:rsidRPr="00D7115E" w:rsidRDefault="00F51219">
      <w:pPr>
        <w:spacing w:after="120"/>
        <w:rPr>
          <w:rFonts w:ascii="Calibri" w:hAnsi="Calibri" w:cs="Calibri"/>
        </w:rPr>
      </w:pPr>
      <w:r w:rsidRPr="00D7115E">
        <w:rPr>
          <w:rFonts w:ascii="Calibri" w:hAnsi="Calibri" w:cs="Calibri"/>
        </w:rPr>
        <w:t>The scheme seeks to generate long-term capital appreciation by investing predominantly in equity and equity related securities with a focus on multiple sectors that are in momentum. The allocation between sectors is based on the Quantamental strategy, and stocks within those sectors are selected through the quantamental process.</w:t>
      </w:r>
    </w:p>
    <w:p w14:paraId="7F830E2E"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portfolio, being built on sectors selected through a Quantamental approach, may result in higher tracking error vis-à-vis other diversified equity oriented schemes.</w:t>
      </w:r>
    </w:p>
    <w:p w14:paraId="7F830E2F"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Since the scheme invests only in sector-based securities further selected based on the Quantamental model, it is expected to have higher market liquidity risk compared to a regular diversified equity scheme.</w:t>
      </w:r>
    </w:p>
    <w:p w14:paraId="7F830E30"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Due to the rotation of sectors, the portfolio can have higher volatility compared to diversified equity funds.</w:t>
      </w:r>
    </w:p>
    <w:p w14:paraId="7F830E31" w14:textId="77777777" w:rsidR="00A11ACA" w:rsidRPr="00D7115E" w:rsidRDefault="00F51219">
      <w:pPr>
        <w:spacing w:before="200" w:after="120"/>
        <w:rPr>
          <w:rFonts w:ascii="Calibri" w:hAnsi="Calibri" w:cs="Calibri"/>
        </w:rPr>
      </w:pPr>
      <w:r w:rsidRPr="00D7115E">
        <w:rPr>
          <w:rFonts w:ascii="Calibri" w:hAnsi="Calibri" w:cs="Calibri"/>
          <w:b/>
          <w:bCs/>
          <w:i/>
          <w:iCs/>
        </w:rPr>
        <w:t>3. Risks Associated with Equity Investments</w:t>
      </w:r>
    </w:p>
    <w:p w14:paraId="7F830E32"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lastRenderedPageBreak/>
        <w:t xml:space="preserve">General Market/Company Risk: </w:t>
      </w:r>
      <w:r w:rsidRPr="00D7115E">
        <w:rPr>
          <w:rFonts w:ascii="Calibri" w:hAnsi="Calibri" w:cs="Calibri"/>
        </w:rPr>
        <w:t>Equity and equity related securities are volatile and prone to price fluctuations on a daily basis. The liquidity of investments made in the Scheme may be restricted by trading volumes and settlement periods, which may be extended significantly by unforeseen circumstances. The inability of the Scheme to make intended purchases due to settlement problems could cause it to miss investment opportunities, and the inability to sell securities held in the portfolio may result, at times, in potential losses should there be a subsequent decline in the value of such securities. The value of investments may also be affected by interest rates, changes in law/policy, taxation and political, economic or other developments affecting individual securities, a specific sector or all sectors.</w:t>
      </w:r>
    </w:p>
    <w:p w14:paraId="7F830E33"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General Risk of Loss: </w:t>
      </w:r>
      <w:r w:rsidRPr="00D7115E">
        <w:rPr>
          <w:rFonts w:ascii="Calibri" w:hAnsi="Calibri" w:cs="Calibri"/>
        </w:rPr>
        <w:t>Investments in equity and equity related securities involve a degree of risk, and investors should not invest in the Scheme unless they can afford to take the risk of losing their investment.</w:t>
      </w:r>
    </w:p>
    <w:p w14:paraId="7F830E34"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Unlisted Securities Risk: </w:t>
      </w:r>
      <w:r w:rsidRPr="00D7115E">
        <w:rPr>
          <w:rFonts w:ascii="Calibri" w:hAnsi="Calibri" w:cs="Calibri"/>
        </w:rPr>
        <w:t>Securities which are not quoted on stock exchanges are inherently illiquid in nature and carry a larger liquidity risk in comparison with listed securities or those offering other exit options, including put options. The AMC may choose to invest in unlisted securities that offer attractive yields within the regulatory limit; this may increase the risk of the portfolio. The liquidity and valuation of such investments may also be affected if they have to be sold prior to the target date of disinvestment.</w:t>
      </w:r>
    </w:p>
    <w:p w14:paraId="7F830E35" w14:textId="77777777" w:rsidR="00A11ACA" w:rsidRPr="00D7115E" w:rsidRDefault="00F51219">
      <w:pPr>
        <w:spacing w:before="200" w:after="120"/>
        <w:rPr>
          <w:rFonts w:ascii="Calibri" w:hAnsi="Calibri" w:cs="Calibri"/>
        </w:rPr>
      </w:pPr>
      <w:r w:rsidRPr="00D7115E">
        <w:rPr>
          <w:rFonts w:ascii="Calibri" w:hAnsi="Calibri" w:cs="Calibri"/>
          <w:b/>
          <w:bCs/>
          <w:i/>
          <w:iCs/>
        </w:rPr>
        <w:t>4. Risks Associated with Derivatives</w:t>
      </w:r>
    </w:p>
    <w:p w14:paraId="7F830E36" w14:textId="77777777" w:rsidR="00A11ACA" w:rsidRPr="00D7115E" w:rsidRDefault="00F51219">
      <w:pPr>
        <w:spacing w:after="120"/>
        <w:rPr>
          <w:rFonts w:ascii="Calibri" w:hAnsi="Calibri" w:cs="Calibri"/>
        </w:rPr>
      </w:pPr>
      <w:r w:rsidRPr="00D7115E">
        <w:rPr>
          <w:rFonts w:ascii="Calibri" w:hAnsi="Calibri" w:cs="Calibri"/>
        </w:rPr>
        <w:t>The risks associated with the use of derivatives are different from, or possibly greater than, the risks associated with investing directly in securities and other traditional instruments. Such risks include mispricing or improper valuation and the inability of derivatives to correlate perfectly with underlying assets, rates and indices.</w:t>
      </w:r>
    </w:p>
    <w:p w14:paraId="7F830E37"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Trading in derivatives carries a high degree of risk although they are traded at a relatively small amount of margin, which provides the possibility of great profit or loss in comparison with the principal investment amount.</w:t>
      </w:r>
    </w:p>
    <w:p w14:paraId="7F830E38"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options buyer's risk is limited to the premium paid, while the risk of an options writer is unlimited (subject to the underlying asset's price movement); the gains of an options writer are limited to the premiums earned.</w:t>
      </w:r>
    </w:p>
    <w:p w14:paraId="7F830E39"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Investments in futures face the same risk as investments in the underlying securities; however, the risk of loss in trading futures contracts can be substantial because of low margin deposits, high leverage and the potential high volatility of futures markets.</w:t>
      </w:r>
    </w:p>
    <w:p w14:paraId="7F830E3A"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Derivatives are also subject to liquidity risk similar to the cash markets. The derivatives market in India is relatively nascent and does not have the volumes seen in other developed markets, which may result in volatility in values.</w:t>
      </w:r>
    </w:p>
    <w:p w14:paraId="7F830E3B"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Derivative products are leveraged instruments and can provide disproportionate gains as well as disproportionate losses to the investor. Execution of investment strategies depends on the fund manager's ability to identify such opportunities, which may not always be available, and no assurance can be given that the fund manager will be able to identify or execute such strategies successfully.</w:t>
      </w:r>
    </w:p>
    <w:p w14:paraId="7F830E3C"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AMC, within regulatory guidelines, may use derivatives on commodities (like futures and options); the use of derivatives may affect the performance of the scheme.</w:t>
      </w:r>
    </w:p>
    <w:p w14:paraId="7F830E3D" w14:textId="77777777" w:rsidR="00A11ACA" w:rsidRPr="00D7115E" w:rsidRDefault="00F51219">
      <w:pPr>
        <w:spacing w:before="200" w:after="120"/>
        <w:rPr>
          <w:rFonts w:ascii="Calibri" w:hAnsi="Calibri" w:cs="Calibri"/>
        </w:rPr>
      </w:pPr>
      <w:r w:rsidRPr="00D7115E">
        <w:rPr>
          <w:rFonts w:ascii="Calibri" w:hAnsi="Calibri" w:cs="Calibri"/>
          <w:b/>
          <w:bCs/>
          <w:i/>
          <w:iCs/>
        </w:rPr>
        <w:t>5. Risk Associated with Covered Call Strategy</w:t>
      </w:r>
    </w:p>
    <w:p w14:paraId="7F830E3E"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If the underlying price rises above the strike, the short call loses value to the same extent that the underlying stock gains, capping the upside — a lost-opportunity risk.</w:t>
      </w:r>
    </w:p>
    <w:p w14:paraId="7F830E3F"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Capped Upside / Specialized-Activity Risk: </w:t>
      </w:r>
      <w:r w:rsidRPr="00D7115E">
        <w:rPr>
          <w:rFonts w:ascii="Calibri" w:hAnsi="Calibri" w:cs="Calibri"/>
        </w:rPr>
        <w:t>Writing call options is a highly specialized activity entailing higher-than-ordinary investment risk. Profit from option writing is capped at the premium received, while the downside depends on the increase in value of the underlying equity shares (reduced to the extent of the premium received).</w:t>
      </w:r>
    </w:p>
    <w:p w14:paraId="7F830E40"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lastRenderedPageBreak/>
        <w:t xml:space="preserve">Exit/Liquidity Risk on Underlying: </w:t>
      </w:r>
      <w:r w:rsidRPr="00D7115E">
        <w:rPr>
          <w:rFonts w:ascii="Calibri" w:hAnsi="Calibri" w:cs="Calibri"/>
        </w:rPr>
        <w:t>The Scheme may write covered call options only where it holds adequate underlying equity shares as per regulatory requirement, setting aside a portion of the investment in such shares. If covered call options are sold to the maximum extent permitted, the Scheme may not be able to sell the underlying shares immediately on a change of view, as the options must first be unwound; this may lead to loss of opportunity or, if the option contracts become illiquid, temporary illiquidity of the underlying shares.</w:t>
      </w:r>
    </w:p>
    <w:p w14:paraId="7F830E41"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Opportunity-Loss Risk: </w:t>
      </w:r>
      <w:r w:rsidRPr="00D7115E">
        <w:rPr>
          <w:rFonts w:ascii="Calibri" w:hAnsi="Calibri" w:cs="Calibri"/>
        </w:rPr>
        <w:t>Writing a covered call can lead to loss of opportunity where the appreciation in the underlying equity share price exceeds the option premium received, resulting in the Scheme foregoing part of the potential gain.</w:t>
      </w:r>
    </w:p>
    <w:p w14:paraId="7F830E42"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Exposure-Limit Risk: </w:t>
      </w:r>
      <w:r w:rsidRPr="00D7115E">
        <w:rPr>
          <w:rFonts w:ascii="Calibri" w:hAnsi="Calibri" w:cs="Calibri"/>
        </w:rPr>
        <w:t>The total gross exposure related to option premium paid and received must not exceed regulatory limits applicable to the net assets of the Scheme, which may restrict the Scheme's ability to buy options.</w:t>
      </w:r>
    </w:p>
    <w:p w14:paraId="7F830E43" w14:textId="77777777" w:rsidR="00A11ACA" w:rsidRPr="00D7115E" w:rsidRDefault="00F51219">
      <w:pPr>
        <w:spacing w:before="200" w:after="120"/>
        <w:rPr>
          <w:rFonts w:ascii="Calibri" w:hAnsi="Calibri" w:cs="Calibri"/>
        </w:rPr>
      </w:pPr>
      <w:r w:rsidRPr="00D7115E">
        <w:rPr>
          <w:rFonts w:ascii="Calibri" w:hAnsi="Calibri" w:cs="Calibri"/>
          <w:b/>
          <w:bCs/>
          <w:i/>
          <w:iCs/>
        </w:rPr>
        <w:t>6. Risks Associated with Money Market Instruments</w:t>
      </w:r>
    </w:p>
    <w:p w14:paraId="7F830E44"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Price-Risk or Interest-Rate Risk: </w:t>
      </w:r>
      <w:r w:rsidRPr="00D7115E">
        <w:rPr>
          <w:rFonts w:ascii="Calibri" w:hAnsi="Calibri" w:cs="Calibri"/>
        </w:rPr>
        <w:t>Fixed income securities such as bonds, debentures and money market instruments run price-risk or interest-rate risk. Generally, when interest rates rise, prices of existing fixed income securities fall, and vice versa; the extent of the fall or rise is a function of the existing coupon, days to maturity and the change in the level of interest rates.</w:t>
      </w:r>
    </w:p>
    <w:p w14:paraId="7F830E45"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Credit Risk: </w:t>
      </w:r>
      <w:r w:rsidRPr="00D7115E">
        <w:rPr>
          <w:rFonts w:ascii="Calibri" w:hAnsi="Calibri" w:cs="Calibri"/>
        </w:rPr>
        <w:t>The issuer of a debenture/bond or money market instrument may default on interest or principal payments. Even absent default, the price of a security may fall if the issuer's credit rating is downgraded. Where the Scheme invests in Government securities, there is no credit risk to that extent.</w:t>
      </w:r>
    </w:p>
    <w:p w14:paraId="7F830E46"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Liquidity or Marketability Risk: </w:t>
      </w:r>
      <w:r w:rsidRPr="00D7115E">
        <w:rPr>
          <w:rFonts w:ascii="Calibri" w:hAnsi="Calibri" w:cs="Calibri"/>
        </w:rPr>
        <w:t>This refers to the ease with which a security can be sold at or near its valuation Yield-To-Maturity (YTM); the primary measure is the bid-offer spread quoted by a dealer. Liquidity risk is characteristic of the Indian fixed income market.</w:t>
      </w:r>
    </w:p>
    <w:p w14:paraId="7F830E47"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Reinvestment Risk: </w:t>
      </w:r>
      <w:r w:rsidRPr="00D7115E">
        <w:rPr>
          <w:rFonts w:ascii="Calibri" w:hAnsi="Calibri" w:cs="Calibri"/>
        </w:rPr>
        <w:t>Investments in fixed income securities may carry reinvestment risk, as interest rates prevailing on interest or maturity due dates may differ from the original coupon of the bond, and proceeds may get reinvested at a lower rate.</w:t>
      </w:r>
    </w:p>
    <w:p w14:paraId="7F830E48"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Pre-payment Risk: </w:t>
      </w:r>
      <w:r w:rsidRPr="00D7115E">
        <w:rPr>
          <w:rFonts w:ascii="Calibri" w:hAnsi="Calibri" w:cs="Calibri"/>
        </w:rPr>
        <w:t>Certain fixed income securities give the issuer the right to call back securities before maturity, typically in periods of declining interest rates; this may force reinvestment of proceeds at lower yields, resulting in lower interest income for the fund.</w:t>
      </w:r>
    </w:p>
    <w:p w14:paraId="7F830E49"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Spread Risk: </w:t>
      </w:r>
      <w:r w:rsidRPr="00D7115E">
        <w:rPr>
          <w:rFonts w:ascii="Calibri" w:hAnsi="Calibri" w:cs="Calibri"/>
        </w:rPr>
        <w:t>In a floating rate security, the coupon is expressed as a spread over a benchmark rate; this spread may move adversely during the life of the security, leading to a loss in value even where the underlying benchmark yield is unchanged.</w:t>
      </w:r>
    </w:p>
    <w:p w14:paraId="7F830E4A"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Concentration Risk: </w:t>
      </w:r>
      <w:r w:rsidRPr="00D7115E">
        <w:rPr>
          <w:rFonts w:ascii="Calibri" w:hAnsi="Calibri" w:cs="Calibri"/>
        </w:rPr>
        <w:t>The portfolio may have higher exposure to a single sector, subject to a maximum of 20% of net assets, depending on availability of issuances at the time of investment, resulting in higher concentration risk; adverse changes in government policy or business environment relevant to the sector may impact the portfolio.</w:t>
      </w:r>
    </w:p>
    <w:p w14:paraId="7F830E4B" w14:textId="77777777" w:rsidR="00A11ACA" w:rsidRPr="00D7115E" w:rsidRDefault="00F51219">
      <w:pPr>
        <w:spacing w:before="200" w:after="120"/>
        <w:rPr>
          <w:rFonts w:ascii="Calibri" w:hAnsi="Calibri" w:cs="Calibri"/>
        </w:rPr>
      </w:pPr>
      <w:r w:rsidRPr="00D7115E">
        <w:rPr>
          <w:rFonts w:ascii="Calibri" w:hAnsi="Calibri" w:cs="Calibri"/>
          <w:b/>
          <w:bCs/>
          <w:i/>
          <w:iCs/>
        </w:rPr>
        <w:t>7. Risks Associated with Segregated Portfolio</w:t>
      </w:r>
    </w:p>
    <w:p w14:paraId="7F830E4C"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Investors holding units of a segregated portfolio may not be able to liquidate their holding until recovery of money from the issuer.</w:t>
      </w:r>
    </w:p>
    <w:p w14:paraId="7F830E4D"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The security comprising the segregated portfolio may not realise any value.</w:t>
      </w:r>
    </w:p>
    <w:p w14:paraId="7F830E4E"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rPr>
        <w:t>Listing of units of a segregated portfolio on a recognised stock exchange does not necessarily guarantee liquidity; there may not be active trading, and the trading price may be significantly lower than the prevailing NAV.</w:t>
      </w:r>
    </w:p>
    <w:p w14:paraId="7F830E4F" w14:textId="77777777" w:rsidR="00A11ACA" w:rsidRPr="00D7115E" w:rsidRDefault="00F51219">
      <w:pPr>
        <w:spacing w:before="200" w:after="120"/>
        <w:rPr>
          <w:rFonts w:ascii="Calibri" w:hAnsi="Calibri" w:cs="Calibri"/>
        </w:rPr>
      </w:pPr>
      <w:r w:rsidRPr="00D7115E">
        <w:rPr>
          <w:rFonts w:ascii="Calibri" w:hAnsi="Calibri" w:cs="Calibri"/>
          <w:b/>
          <w:bCs/>
          <w:i/>
          <w:iCs/>
        </w:rPr>
        <w:t>8. Risk Associated with Securities Lending</w:t>
      </w:r>
    </w:p>
    <w:p w14:paraId="7F830E50" w14:textId="77777777" w:rsidR="00A11ACA" w:rsidRPr="00D7115E" w:rsidRDefault="00F51219">
      <w:pPr>
        <w:spacing w:after="120"/>
        <w:rPr>
          <w:rFonts w:ascii="Calibri" w:hAnsi="Calibri" w:cs="Calibri"/>
        </w:rPr>
      </w:pPr>
      <w:r w:rsidRPr="00D7115E">
        <w:rPr>
          <w:rFonts w:ascii="Calibri" w:hAnsi="Calibri" w:cs="Calibri"/>
        </w:rPr>
        <w:lastRenderedPageBreak/>
        <w:t>Securities lending involves lending of securities through an approved intermediary to a borrower under an agreement for a specified period, with the condition that the borrower returns equivalent securities together with corporate benefits accruing on them. The Scheme may be exposed to counterparty risk and other risks inherent to securities lending, including the risk of the approved intermediary failing to comply with the terms of the agreement — which can result in loss of rights to collateral, inability to recover the securities deposited, and loss of corporate benefits accruing on such securities.</w:t>
      </w:r>
    </w:p>
    <w:p w14:paraId="7F830E51" w14:textId="77777777" w:rsidR="00A11ACA" w:rsidRPr="00D7115E" w:rsidRDefault="00F51219">
      <w:pPr>
        <w:spacing w:before="200" w:after="120"/>
        <w:rPr>
          <w:rFonts w:ascii="Calibri" w:hAnsi="Calibri" w:cs="Calibri"/>
        </w:rPr>
      </w:pPr>
      <w:r w:rsidRPr="00D7115E">
        <w:rPr>
          <w:rFonts w:ascii="Calibri" w:hAnsi="Calibri" w:cs="Calibri"/>
          <w:b/>
          <w:bCs/>
          <w:i/>
          <w:iCs/>
        </w:rPr>
        <w:t>9. Risks Associated with Repo in Corporate Debt Securities</w:t>
      </w:r>
    </w:p>
    <w:p w14:paraId="7F830E52"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Illiquidity Risk: </w:t>
      </w:r>
      <w:r w:rsidRPr="00D7115E">
        <w:rPr>
          <w:rFonts w:ascii="Calibri" w:hAnsi="Calibri" w:cs="Calibri"/>
        </w:rPr>
        <w:t>The repo market for corporate debt securities is over-the-counter (OTC) and illiquid, so repo obligations cannot be easily sold to other parties. Gross exposure to repo in corporate bonds is limited to 10% of the net assets of the Scheme, with tenor based on the nature and unit-holder pattern of the scheme.</w:t>
      </w:r>
    </w:p>
    <w:p w14:paraId="7F830E53"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Counterparty Risk: </w:t>
      </w:r>
      <w:r w:rsidRPr="00D7115E">
        <w:rPr>
          <w:rFonts w:ascii="Calibri" w:hAnsi="Calibri" w:cs="Calibri"/>
        </w:rPr>
        <w:t>Credit risk would arise if the counterparty fails to repurchase the security as contracted or fails to return the security/interest on the due date. Such risk is mitigated by carrying out repo transactions only with counterparties rated 'A1+' or 'AA and above', maintaining minimum haircuts on collateral, receiving collateral in the scheme's account before lending, and limiting the number of counterparties.</w:t>
      </w:r>
    </w:p>
    <w:p w14:paraId="7F830E54" w14:textId="77777777" w:rsidR="00A11ACA" w:rsidRPr="00D7115E" w:rsidRDefault="00F51219">
      <w:pPr>
        <w:pStyle w:val="ListParagraph"/>
        <w:numPr>
          <w:ilvl w:val="0"/>
          <w:numId w:val="1"/>
        </w:numPr>
        <w:spacing w:after="120"/>
        <w:rPr>
          <w:rFonts w:ascii="Calibri" w:hAnsi="Calibri" w:cs="Calibri"/>
        </w:rPr>
      </w:pPr>
      <w:r w:rsidRPr="00D7115E">
        <w:rPr>
          <w:rFonts w:ascii="Calibri" w:hAnsi="Calibri" w:cs="Calibri"/>
          <w:b/>
          <w:bCs/>
        </w:rPr>
        <w:t xml:space="preserve">Collateral Risk (as a repo buyer): </w:t>
      </w:r>
      <w:r w:rsidRPr="00D7115E">
        <w:rPr>
          <w:rFonts w:ascii="Calibri" w:hAnsi="Calibri" w:cs="Calibri"/>
        </w:rPr>
        <w:t>Arises from a fall in the value of the security pledged as collateral due to changes in credit rating or interest rates; mitigated through minimum credit-rating requirements on collateral issuers, maximum collateral duration limits, and minimum haircuts.</w:t>
      </w:r>
    </w:p>
    <w:p w14:paraId="7F830E55" w14:textId="77777777" w:rsidR="00A11ACA" w:rsidRPr="00D7115E" w:rsidRDefault="00F51219">
      <w:pPr>
        <w:spacing w:before="200" w:after="120"/>
        <w:rPr>
          <w:rFonts w:ascii="Calibri" w:hAnsi="Calibri" w:cs="Calibri"/>
        </w:rPr>
      </w:pPr>
      <w:r w:rsidRPr="00D7115E">
        <w:rPr>
          <w:rFonts w:ascii="Calibri" w:hAnsi="Calibri" w:cs="Calibri"/>
          <w:b/>
          <w:bCs/>
          <w:i/>
          <w:iCs/>
        </w:rPr>
        <w:t>10. Risks Associated with Investing in Tri-Party Repo through CCIL (TREPS)</w:t>
      </w:r>
    </w:p>
    <w:p w14:paraId="7F830E56" w14:textId="77777777" w:rsidR="00A11ACA" w:rsidRPr="00D7115E" w:rsidRDefault="00F51219">
      <w:pPr>
        <w:spacing w:after="120"/>
        <w:rPr>
          <w:rFonts w:ascii="Calibri" w:hAnsi="Calibri" w:cs="Calibri"/>
        </w:rPr>
      </w:pPr>
      <w:r w:rsidRPr="00D7115E">
        <w:rPr>
          <w:rFonts w:ascii="Calibri" w:hAnsi="Calibri" w:cs="Calibri"/>
        </w:rPr>
        <w:t>All transactions of the Mutual Fund in government securities and Tri-party Repo trades are settled centrally through CCIL's infrastructure, reducing settlement and counterparty risk considerably. CCIL maintains prefunded resources across clearing segments (the 'Default Waterfall') to cover potential losses arising from a defaulting member; the Scheme is subject to the risk of its initial margin and default fund contribution being invoked in the event of a settlement failure by another clearing member, and to residual-loss appropriation from non-defaulting members' contributions under the waterfall mechanism, subject to prescribed caps.</w:t>
      </w:r>
    </w:p>
    <w:p w14:paraId="7F830E57" w14:textId="77777777" w:rsidR="00A11ACA" w:rsidRPr="00D7115E" w:rsidRDefault="00F51219">
      <w:pPr>
        <w:spacing w:before="200" w:after="120"/>
        <w:rPr>
          <w:rFonts w:ascii="Calibri" w:hAnsi="Calibri" w:cs="Calibri"/>
        </w:rPr>
      </w:pPr>
      <w:r w:rsidRPr="00D7115E">
        <w:rPr>
          <w:rFonts w:ascii="Calibri" w:hAnsi="Calibri" w:cs="Calibri"/>
          <w:b/>
          <w:bCs/>
          <w:i/>
          <w:iCs/>
        </w:rPr>
        <w:t>11. Risk Associated with Transacting through Email (Non-Individual Investors)</w:t>
      </w:r>
    </w:p>
    <w:p w14:paraId="7F830E58" w14:textId="77777777" w:rsidR="00A11ACA" w:rsidRPr="00D7115E" w:rsidRDefault="00F51219">
      <w:pPr>
        <w:spacing w:after="120"/>
        <w:rPr>
          <w:rFonts w:ascii="Calibri" w:hAnsi="Calibri" w:cs="Calibri"/>
        </w:rPr>
      </w:pPr>
      <w:r w:rsidRPr="00D7115E">
        <w:rPr>
          <w:rFonts w:ascii="Calibri" w:hAnsi="Calibri" w:cs="Calibri"/>
        </w:rPr>
        <w:t>Email-based instructions are inherently vulnerable to interception, unauthorised access, phishing, spoofing, failed delivery and unintended transmission. The AMC does not accept responsibility for loss, damage or inconvenience arising from errors, delays, non-receipt or unauthorised access associated with transacting through email.</w:t>
      </w:r>
    </w:p>
    <w:sectPr w:rsidR="00A11ACA" w:rsidRPr="00D7115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BF2568"/>
    <w:multiLevelType w:val="hybridMultilevel"/>
    <w:tmpl w:val="3BB868D8"/>
    <w:lvl w:ilvl="0" w:tplc="895E527C">
      <w:start w:val="1"/>
      <w:numFmt w:val="bullet"/>
      <w:lvlText w:val="●"/>
      <w:lvlJc w:val="left"/>
      <w:pPr>
        <w:ind w:left="720" w:hanging="360"/>
      </w:pPr>
    </w:lvl>
    <w:lvl w:ilvl="1" w:tplc="EE60857A">
      <w:start w:val="1"/>
      <w:numFmt w:val="bullet"/>
      <w:lvlText w:val="○"/>
      <w:lvlJc w:val="left"/>
      <w:pPr>
        <w:ind w:left="1440" w:hanging="360"/>
      </w:pPr>
    </w:lvl>
    <w:lvl w:ilvl="2" w:tplc="1A92C4A4">
      <w:start w:val="1"/>
      <w:numFmt w:val="bullet"/>
      <w:lvlText w:val="■"/>
      <w:lvlJc w:val="left"/>
      <w:pPr>
        <w:ind w:left="2160" w:hanging="360"/>
      </w:pPr>
    </w:lvl>
    <w:lvl w:ilvl="3" w:tplc="57D891B4">
      <w:start w:val="1"/>
      <w:numFmt w:val="bullet"/>
      <w:lvlText w:val="●"/>
      <w:lvlJc w:val="left"/>
      <w:pPr>
        <w:ind w:left="2880" w:hanging="360"/>
      </w:pPr>
    </w:lvl>
    <w:lvl w:ilvl="4" w:tplc="11AEB4C4">
      <w:start w:val="1"/>
      <w:numFmt w:val="bullet"/>
      <w:lvlText w:val="○"/>
      <w:lvlJc w:val="left"/>
      <w:pPr>
        <w:ind w:left="3600" w:hanging="360"/>
      </w:pPr>
    </w:lvl>
    <w:lvl w:ilvl="5" w:tplc="634E29E6">
      <w:start w:val="1"/>
      <w:numFmt w:val="bullet"/>
      <w:lvlText w:val="■"/>
      <w:lvlJc w:val="left"/>
      <w:pPr>
        <w:ind w:left="4320" w:hanging="360"/>
      </w:pPr>
    </w:lvl>
    <w:lvl w:ilvl="6" w:tplc="E6249F98">
      <w:start w:val="1"/>
      <w:numFmt w:val="bullet"/>
      <w:lvlText w:val="●"/>
      <w:lvlJc w:val="left"/>
      <w:pPr>
        <w:ind w:left="5040" w:hanging="360"/>
      </w:pPr>
    </w:lvl>
    <w:lvl w:ilvl="7" w:tplc="1D6293C8">
      <w:start w:val="1"/>
      <w:numFmt w:val="bullet"/>
      <w:lvlText w:val="●"/>
      <w:lvlJc w:val="left"/>
      <w:pPr>
        <w:ind w:left="5760" w:hanging="360"/>
      </w:pPr>
    </w:lvl>
    <w:lvl w:ilvl="8" w:tplc="CD2E008A">
      <w:start w:val="1"/>
      <w:numFmt w:val="bullet"/>
      <w:lvlText w:val="●"/>
      <w:lvlJc w:val="left"/>
      <w:pPr>
        <w:ind w:left="6480" w:hanging="360"/>
      </w:pPr>
    </w:lvl>
  </w:abstractNum>
  <w:num w:numId="1" w16cid:durableId="6756917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ACA"/>
    <w:rsid w:val="001219C4"/>
    <w:rsid w:val="00482188"/>
    <w:rsid w:val="00894C36"/>
    <w:rsid w:val="00A11ACA"/>
    <w:rsid w:val="00D7115E"/>
    <w:rsid w:val="00E011DF"/>
    <w:rsid w:val="00EF7933"/>
    <w:rsid w:val="00F51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30E15"/>
  <w15:docId w15:val="{1AF61EF8-136B-43D7-AA6C-76CD2F43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1997</Words>
  <Characters>11386</Characters>
  <Application>Microsoft Office Word</Application>
  <DocSecurity>0</DocSecurity>
  <Lines>94</Lines>
  <Paragraphs>26</Paragraphs>
  <ScaleCrop>false</ScaleCrop>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2026-08-24T07:28:00Z</dcterms:created>
  <dcterms:modified xsi:type="dcterms:W3CDTF">2026-08-24T09:29:00Z</dcterms:modified>
</cp:coreProperties>
</file>