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0048B" w14:textId="77777777" w:rsidR="001D79F8" w:rsidRPr="00B00090" w:rsidRDefault="00150BAD" w:rsidP="00941371">
      <w:pPr>
        <w:spacing w:after="60"/>
        <w:rPr>
          <w:rFonts w:ascii="Calibri" w:hAnsi="Calibri" w:cs="Calibri"/>
        </w:rPr>
      </w:pPr>
      <w:r w:rsidRPr="00B00090">
        <w:rPr>
          <w:rFonts w:ascii="Calibri" w:hAnsi="Calibri" w:cs="Calibri"/>
          <w:b/>
          <w:bCs/>
        </w:rPr>
        <w:t>Risk Factors — Shriram Multi Asset Allocation Fund</w:t>
      </w:r>
    </w:p>
    <w:p w14:paraId="0D80048F" w14:textId="41153A1A" w:rsidR="001D79F8" w:rsidRPr="00B00090" w:rsidRDefault="00150BAD">
      <w:pPr>
        <w:pStyle w:val="Heading1"/>
        <w:spacing w:before="300" w:after="160"/>
        <w:rPr>
          <w:rFonts w:ascii="Calibri" w:hAnsi="Calibri" w:cs="Calibri"/>
          <w:sz w:val="20"/>
          <w:szCs w:val="20"/>
        </w:rPr>
      </w:pPr>
      <w:r w:rsidRPr="00B00090">
        <w:rPr>
          <w:rFonts w:ascii="Calibri" w:hAnsi="Calibri" w:cs="Calibri"/>
          <w:b/>
          <w:bCs/>
          <w:sz w:val="20"/>
          <w:szCs w:val="20"/>
        </w:rPr>
        <w:t xml:space="preserve">Section A — Summary Risk Factors </w:t>
      </w:r>
    </w:p>
    <w:p w14:paraId="0D800491"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Asset Allocation Risk: </w:t>
      </w:r>
      <w:r w:rsidRPr="00B00090">
        <w:rPr>
          <w:rFonts w:ascii="Calibri" w:hAnsi="Calibri" w:cs="Calibri"/>
        </w:rPr>
        <w:t>The Scheme's performance depends on the allocation across different asset classes, which may not always perform as expected.</w:t>
      </w:r>
    </w:p>
    <w:p w14:paraId="0D800492"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Equity Market Risk: </w:t>
      </w:r>
      <w:r w:rsidRPr="00B00090">
        <w:rPr>
          <w:rFonts w:ascii="Calibri" w:hAnsi="Calibri" w:cs="Calibri"/>
        </w:rPr>
        <w:t>Equity investments are subject to market volatility and company-specific risks.</w:t>
      </w:r>
    </w:p>
    <w:p w14:paraId="0D800493"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Interest Rate Risk: </w:t>
      </w:r>
      <w:r w:rsidRPr="00B00090">
        <w:rPr>
          <w:rFonts w:ascii="Calibri" w:hAnsi="Calibri" w:cs="Calibri"/>
        </w:rPr>
        <w:t>Debt and money-market investments are sensitive to changes in interest rates.</w:t>
      </w:r>
    </w:p>
    <w:p w14:paraId="0D800494"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Credit Risk: </w:t>
      </w:r>
      <w:r w:rsidRPr="00B00090">
        <w:rPr>
          <w:rFonts w:ascii="Calibri" w:hAnsi="Calibri" w:cs="Calibri"/>
        </w:rPr>
        <w:t>Debt securities are exposed to issuer default, downgrade and deterioration in credit quality.</w:t>
      </w:r>
    </w:p>
    <w:p w14:paraId="0D800495"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Liquidity Risk: </w:t>
      </w:r>
      <w:r w:rsidRPr="00B00090">
        <w:rPr>
          <w:rFonts w:ascii="Calibri" w:hAnsi="Calibri" w:cs="Calibri"/>
        </w:rPr>
        <w:t>Certain securities may not be readily marketable during adverse market conditions.</w:t>
      </w:r>
    </w:p>
    <w:p w14:paraId="0D800496"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REITs/InvITs Risk: </w:t>
      </w:r>
      <w:r w:rsidRPr="00B00090">
        <w:rPr>
          <w:rFonts w:ascii="Calibri" w:hAnsi="Calibri" w:cs="Calibri"/>
        </w:rPr>
        <w:t>Investments in REITs/InvITs are subject to market, liquidity, valuation, regulatory and other risks.</w:t>
      </w:r>
    </w:p>
    <w:p w14:paraId="0D800497"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Derivative Risk: </w:t>
      </w:r>
      <w:r w:rsidRPr="00B00090">
        <w:rPr>
          <w:rFonts w:ascii="Calibri" w:hAnsi="Calibri" w:cs="Calibri"/>
        </w:rPr>
        <w:t>Derivatives may involve leverage, valuation, liquidity and counterparty risks.</w:t>
      </w:r>
    </w:p>
    <w:p w14:paraId="0D800498"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Covered Call Risk: </w:t>
      </w:r>
      <w:r w:rsidRPr="00B00090">
        <w:rPr>
          <w:rFonts w:ascii="Calibri" w:hAnsi="Calibri" w:cs="Calibri"/>
        </w:rPr>
        <w:t>Covered-call strategies may limit potential upside and involve additional risks associated with derivatives.</w:t>
      </w:r>
    </w:p>
    <w:p w14:paraId="0D800499"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Counterparty Risk: </w:t>
      </w:r>
      <w:r w:rsidRPr="00B00090">
        <w:rPr>
          <w:rFonts w:ascii="Calibri" w:hAnsi="Calibri" w:cs="Calibri"/>
        </w:rPr>
        <w:t>Transactions such as repo/TREPS and derivatives may expose the Scheme to counterparty risk.</w:t>
      </w:r>
    </w:p>
    <w:p w14:paraId="0D80049A" w14:textId="6662C119" w:rsidR="001D79F8" w:rsidRPr="00B00090" w:rsidRDefault="00150BAD">
      <w:pPr>
        <w:pStyle w:val="Heading1"/>
        <w:spacing w:before="300" w:after="160"/>
        <w:rPr>
          <w:rFonts w:ascii="Calibri" w:hAnsi="Calibri" w:cs="Calibri"/>
          <w:sz w:val="20"/>
          <w:szCs w:val="20"/>
        </w:rPr>
      </w:pPr>
      <w:r w:rsidRPr="00B00090">
        <w:rPr>
          <w:rFonts w:ascii="Calibri" w:hAnsi="Calibri" w:cs="Calibri"/>
          <w:b/>
          <w:bCs/>
          <w:sz w:val="20"/>
          <w:szCs w:val="20"/>
        </w:rPr>
        <w:t xml:space="preserve">Section B — Detailed Risk Factors </w:t>
      </w:r>
    </w:p>
    <w:p w14:paraId="0D80049C"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1. Scheme-Level / General Risk Factors</w:t>
      </w:r>
    </w:p>
    <w:p w14:paraId="0D80049D"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rPr>
        <w:t>The performance of the scheme may be affected by corporate performance, macro-economic factors, changes in Government policies, general levels of interest rates, and risks associated with trading volumes, liquidity and settlement systems in the securities markets.</w:t>
      </w:r>
    </w:p>
    <w:p w14:paraId="0D80049E"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rPr>
        <w:t>Low trading volumes, settlement periods and transfer procedures may restrict the liquidity of the Scheme's investments; extreme market volatility may further constrict trading volumes. Changes in SEBI/RBI regulations may adversely affect liquidity. Different segments of the Indian financial markets have different settlement periods, which may be extended significantly by unforeseen circumstances, potentially affecting the Scheme's ability to meet a large number of redemption requests.</w:t>
      </w:r>
    </w:p>
    <w:p w14:paraId="0D80049F"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2. Risks Associated with Investments in Equity and Equity-Related Instruments</w:t>
      </w:r>
    </w:p>
    <w:p w14:paraId="0D8004A0"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General Market/Company Risk: </w:t>
      </w:r>
      <w:r w:rsidRPr="00B00090">
        <w:rPr>
          <w:rFonts w:ascii="Calibri" w:hAnsi="Calibri" w:cs="Calibri"/>
        </w:rPr>
        <w:t>Investments in equity and equity related instruments involve a degree of risk, both company-specific and market risk; investors should not invest in the Scheme unless they can afford to take the risk of losing their investment.</w:t>
      </w:r>
    </w:p>
    <w:p w14:paraId="0D8004A1"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Price Fluctuation Risk: </w:t>
      </w:r>
      <w:r w:rsidRPr="00B00090">
        <w:rPr>
          <w:rFonts w:ascii="Calibri" w:hAnsi="Calibri" w:cs="Calibri"/>
        </w:rPr>
        <w:t>Equity and equity related instruments are, by nature, volatile and prone to price fluctuations on a daily basis due to macro and micro-economic factors — volume and volatility in capital markets, interest rates, currency exchange rates, changes in Government law/policy, taxation, and political, economic or other developments affecting individual securities, a specific sector or all sectors — which may adversely affect the NAV of the Scheme.</w:t>
      </w:r>
    </w:p>
    <w:p w14:paraId="0D8004A2"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Liquidity Risk (Listed Securities): </w:t>
      </w:r>
      <w:r w:rsidRPr="00B00090">
        <w:rPr>
          <w:rFonts w:ascii="Calibri" w:hAnsi="Calibri" w:cs="Calibri"/>
        </w:rPr>
        <w:t>Equity and equity related instruments listed on stock exchanges carry lower liquidity risk; however, the Scheme's ability to sell such investments is limited by overall trading volumes on the exchanges. Settlement periods may be extended significantly by unforeseen circumstances, which could cause the Scheme to miss investment opportunities or realise losses on a subsequent decline in value.</w:t>
      </w:r>
    </w:p>
    <w:p w14:paraId="0D8004A3"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3. Risks Associated with Fixed Income Securities (Debt and Money Market Instruments)</w:t>
      </w:r>
    </w:p>
    <w:p w14:paraId="0D8004A4"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Interest-Rate Risk: </w:t>
      </w:r>
      <w:r w:rsidRPr="00B00090">
        <w:rPr>
          <w:rFonts w:ascii="Calibri" w:hAnsi="Calibri" w:cs="Calibri"/>
        </w:rPr>
        <w:t>Government bonds, corporate bonds, Money Market Instruments and Derivatives carry price/interest-rate risk. Generally, when interest rates rise, prices of existing fixed income securities fall, and vice versa; the extent of the fall or rise depends on the coupon, maturity and the level at which the security is traded.</w:t>
      </w:r>
    </w:p>
    <w:p w14:paraId="0D8004A5"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Re-investment Risk: </w:t>
      </w:r>
      <w:r w:rsidRPr="00B00090">
        <w:rPr>
          <w:rFonts w:ascii="Calibri" w:hAnsi="Calibri" w:cs="Calibri"/>
        </w:rPr>
        <w:t>Investments in fixed income securities carry re-investment risk, as interest rates prevailing on coupon payment or maturity dates may differ from the original coupon of the bond.</w:t>
      </w:r>
    </w:p>
    <w:p w14:paraId="0D8004A6"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lastRenderedPageBreak/>
        <w:t xml:space="preserve">Basis Risk: </w:t>
      </w:r>
      <w:r w:rsidRPr="00B00090">
        <w:rPr>
          <w:rFonts w:ascii="Calibri" w:hAnsi="Calibri" w:cs="Calibri"/>
        </w:rPr>
        <w:t>The underlying benchmark of a floating rate security or a swap might become less active or may cease to exist, and thus may not be able to capture exact interest rate movements, leading to loss of portfolio value.</w:t>
      </w:r>
    </w:p>
    <w:p w14:paraId="0D8004A7"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Spread Risk: </w:t>
      </w:r>
      <w:r w:rsidRPr="00B00090">
        <w:rPr>
          <w:rFonts w:ascii="Calibri" w:hAnsi="Calibri" w:cs="Calibri"/>
        </w:rPr>
        <w:t>In a floating rate security, the coupon is expressed as a spread or mark-up over the benchmark rate; this spread may move adversely during the life of the security, leading to a loss in value even where the underlying benchmark yield is unchanged.</w:t>
      </w:r>
    </w:p>
    <w:p w14:paraId="0D8004A8"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Liquidity Risk (Debt): </w:t>
      </w:r>
      <w:r w:rsidRPr="00B00090">
        <w:rPr>
          <w:rFonts w:ascii="Calibri" w:hAnsi="Calibri" w:cs="Calibri"/>
        </w:rPr>
        <w:t>The liquidity of a bond may change depending on market conditions; at the time of selling, the security can become illiquid, leading to a loss in portfolio value.</w:t>
      </w:r>
    </w:p>
    <w:p w14:paraId="0D8004A9"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Credit Risk: </w:t>
      </w:r>
      <w:r w:rsidRPr="00B00090">
        <w:rPr>
          <w:rFonts w:ascii="Calibri" w:hAnsi="Calibri" w:cs="Calibri"/>
        </w:rPr>
        <w:t>This is the risk of an issuer of a debenture/bond or Money Market Instrument defaulting on coupon or principal payments. Even absent default, the price of a security may change with expected changes in the issuer's credit rating. Government securities are the safest; corporate bonds carry a higher amount of credit risk, with risk varying by rating within corporate bonds.</w:t>
      </w:r>
    </w:p>
    <w:p w14:paraId="0D8004AA"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Liquidity Risk — Unlisted Securities: </w:t>
      </w:r>
      <w:r w:rsidRPr="00B00090">
        <w:rPr>
          <w:rFonts w:ascii="Calibri" w:hAnsi="Calibri" w:cs="Calibri"/>
        </w:rPr>
        <w:t>The liquidity and valuation of the Scheme's investments in unlisted debt securities may be affected if they have to be sold prior to their target date of divestment, potentially leading to losses.</w:t>
      </w:r>
    </w:p>
    <w:p w14:paraId="0D8004AB"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Counterparty Risk: </w:t>
      </w:r>
      <w:r w:rsidRPr="00B00090">
        <w:rPr>
          <w:rFonts w:ascii="Calibri" w:hAnsi="Calibri" w:cs="Calibri"/>
        </w:rPr>
        <w:t>This is the risk of failure of a counterparty to a transaction to deliver securities against consideration received, or to pay consideration against securities delivered, in full or in part or as per the agreed specification. There could be losses to the Scheme in case of a counterparty default.</w:t>
      </w:r>
    </w:p>
    <w:p w14:paraId="0D8004AC"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Settlement Risk: </w:t>
      </w:r>
      <w:r w:rsidRPr="00B00090">
        <w:rPr>
          <w:rFonts w:ascii="Calibri" w:hAnsi="Calibri" w:cs="Calibri"/>
        </w:rPr>
        <w:t>Fixed income securities carry settlement risk, which can adversely affect the fund house's ability to swiftly execute trading strategies and can lead to adverse movements in NAV.</w:t>
      </w:r>
    </w:p>
    <w:p w14:paraId="0D8004AD"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Risks associated with Unrated Instruments: </w:t>
      </w:r>
      <w:r w:rsidRPr="00B00090">
        <w:rPr>
          <w:rFonts w:ascii="Calibri" w:hAnsi="Calibri" w:cs="Calibri"/>
        </w:rPr>
        <w:t>Investments in unrated instruments are subject to the risks associated with any other fixed income securities, but are considered to be subject to a greater risk of loss of principal and interest than rated instruments.</w:t>
      </w:r>
    </w:p>
    <w:p w14:paraId="0D8004AE"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Duration Risk: </w:t>
      </w:r>
      <w:r w:rsidRPr="00B00090">
        <w:rPr>
          <w:rFonts w:ascii="Calibri" w:hAnsi="Calibri" w:cs="Calibri"/>
        </w:rPr>
        <w:t>Duration risk refers to the movement in price of debt/money market instruments due to changes in interest rates over different maturities. A longer portfolio duration is associated with greater price fluctuations — a rise in interest rates could lead to a decrease in prices and generally negatively affects portfolios with longer duration.</w:t>
      </w:r>
    </w:p>
    <w:p w14:paraId="0D8004AF"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4. Risk Factors Associated with Investments in Exchange Traded Funds (ETFs)</w:t>
      </w:r>
    </w:p>
    <w:p w14:paraId="0D8004B0"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Liquidity Risk: </w:t>
      </w:r>
      <w:r w:rsidRPr="00B00090">
        <w:rPr>
          <w:rFonts w:ascii="Calibri" w:hAnsi="Calibri" w:cs="Calibri"/>
        </w:rPr>
        <w:t>Trading in units of the ETFs on the Exchange may be halted because of market conditions or for reasons that, in the view of the Exchange authorities or SEBI, trading in units of the ETFs is not advisable, including trading halts caused by extraordinary market volatility and circuit-filter rules.</w:t>
      </w:r>
    </w:p>
    <w:p w14:paraId="0D8004B1"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Regulatory Risk: </w:t>
      </w:r>
      <w:r w:rsidRPr="00B00090">
        <w:rPr>
          <w:rFonts w:ascii="Calibri" w:hAnsi="Calibri" w:cs="Calibri"/>
        </w:rPr>
        <w:t>Any changes in trading regulations by the stock exchange(s) or SEBI may affect the ability of an Authorised Participant/Large Investor to arbitrage, resulting in a wider premium/discount to NAV.</w:t>
      </w:r>
    </w:p>
    <w:p w14:paraId="0D8004B2"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Passive Management of Investments: </w:t>
      </w:r>
      <w:r w:rsidRPr="00B00090">
        <w:rPr>
          <w:rFonts w:ascii="Calibri" w:hAnsi="Calibri" w:cs="Calibri"/>
        </w:rPr>
        <w:t>ETFs being a passive management tool do not carry the risk of active fund management; the risk associated with a particular ETF corresponds closely to the risk of the underlying asset sub-class it is tracking.</w:t>
      </w:r>
    </w:p>
    <w:p w14:paraId="0D8004B3"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Tracking Error: </w:t>
      </w:r>
      <w:r w:rsidRPr="00B00090">
        <w:rPr>
          <w:rFonts w:ascii="Calibri" w:hAnsi="Calibri" w:cs="Calibri"/>
        </w:rPr>
        <w:t>The Fund Manager may not be able to invest the entire corpus in the same proportion as in the underlying index due to fees, expenses, corporate actions, cash balances, and changes in the underlying index/regulatory policies.</w:t>
      </w:r>
    </w:p>
    <w:p w14:paraId="0D8004B4"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Concentration Risk: </w:t>
      </w:r>
      <w:r w:rsidRPr="00B00090">
        <w:rPr>
          <w:rFonts w:ascii="Calibri" w:hAnsi="Calibri" w:cs="Calibri"/>
        </w:rPr>
        <w:t>ETFs may be susceptible to an increased risk of loss, including losses due to adverse occurrences affecting ETFs more than the market as a whole, to the extent that ETF investments are concentrated in a particular issuer, country, region, market, industry or asset class.</w:t>
      </w:r>
    </w:p>
    <w:p w14:paraId="0D8004B5"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Currency Risk: </w:t>
      </w:r>
      <w:r w:rsidRPr="00B00090">
        <w:rPr>
          <w:rFonts w:ascii="Calibri" w:hAnsi="Calibri" w:cs="Calibri"/>
        </w:rPr>
        <w:t>Because the NAV of certain ETFs may be determined with reference to a foreign currency, the NAV could decline if the currency of the relevant global market depreciates against that foreign currency.</w:t>
      </w:r>
    </w:p>
    <w:p w14:paraId="0D8004B6"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Geographic Risk: </w:t>
      </w:r>
      <w:r w:rsidRPr="00B00090">
        <w:rPr>
          <w:rFonts w:ascii="Calibri" w:hAnsi="Calibri" w:cs="Calibri"/>
        </w:rPr>
        <w:t>A natural or other disaster in a geographic region in which an ETF invests could affect the economy or business operations of companies in that region, adversely impacting the ETF's investments.</w:t>
      </w:r>
    </w:p>
    <w:p w14:paraId="0D8004B7"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Trading Risk: </w:t>
      </w:r>
      <w:r w:rsidRPr="00B00090">
        <w:rPr>
          <w:rFonts w:ascii="Calibri" w:hAnsi="Calibri" w:cs="Calibri"/>
        </w:rPr>
        <w:t>ETFs face numerous market trading risks, including the potential lack of an active market, losses from trading in secondary markets, and periods of high volatility and disruption in the creation/redemption process.</w:t>
      </w:r>
    </w:p>
    <w:p w14:paraId="0D8004B8"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lastRenderedPageBreak/>
        <w:t xml:space="preserve">Structural Risk: </w:t>
      </w:r>
      <w:r w:rsidRPr="00B00090">
        <w:rPr>
          <w:rFonts w:ascii="Calibri" w:hAnsi="Calibri" w:cs="Calibri"/>
        </w:rPr>
        <w:t>The market price of an ETF unit, like any other listed security, depends on its intrinsic NAV and the demand/supply of units in the market; sizeable demand or supply may cause the units to trade at a premium or discount to NAV.</w:t>
      </w:r>
    </w:p>
    <w:p w14:paraId="0D8004B9"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5. Risk Associated with Investments in Gold ETFs</w:t>
      </w:r>
    </w:p>
    <w:p w14:paraId="0D8004BA"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rPr>
        <w:t>The Scheme shall invest in Gold ETFs; accordingly, the NAV of the scheme will react to Gold price movements. There is no assurance that gold will maintain its long-term value in terms of purchasing power. In the event of a decline in the price of gold, the value of investment in Units of the Scheme is expected to decline proportionately.</w:t>
      </w:r>
    </w:p>
    <w:p w14:paraId="0D8004BB"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6. Risk Associated with Investments in Silver ETFs</w:t>
      </w:r>
    </w:p>
    <w:p w14:paraId="0D8004BC"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Liquidity Risk: </w:t>
      </w:r>
      <w:r w:rsidRPr="00B00090">
        <w:rPr>
          <w:rFonts w:ascii="Calibri" w:hAnsi="Calibri" w:cs="Calibri"/>
        </w:rPr>
        <w:t>Trading in units of the ETFs may be halted due to market conditions or exchange/SEBI directives, and there can be no assurance that an active trading market for the units will be maintained. Silver ETFs may also have to resort to distress sale of silver if there is low demand to meet redemption or expense needs.</w:t>
      </w:r>
    </w:p>
    <w:p w14:paraId="0D8004BD"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Withdrawal by Authorised Participants: </w:t>
      </w:r>
      <w:r w:rsidRPr="00B00090">
        <w:rPr>
          <w:rFonts w:ascii="Calibri" w:hAnsi="Calibri" w:cs="Calibri"/>
        </w:rPr>
        <w:t>If one or more Authorised Participants withdraws from participation, it may become more difficult to create or redeem Creation Units, reducing the liquidity of the Units and affecting the correlation between unit price and NAV.</w:t>
      </w:r>
    </w:p>
    <w:p w14:paraId="0D8004BE"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Regulatory Risk: </w:t>
      </w:r>
      <w:r w:rsidRPr="00B00090">
        <w:rPr>
          <w:rFonts w:ascii="Calibri" w:hAnsi="Calibri" w:cs="Calibri"/>
        </w:rPr>
        <w:t>Changes in trading regulations by the stock exchange(s)/SEBI, or in regulations relating to import/export of silver (customs duty, sales tax, etc.), may affect the ability of the scheme to buy/sell silver against purchase and redemption requests.</w:t>
      </w:r>
    </w:p>
    <w:p w14:paraId="0D8004BF"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Passive Management of Investments: </w:t>
      </w:r>
      <w:r w:rsidRPr="00B00090">
        <w:rPr>
          <w:rFonts w:ascii="Calibri" w:hAnsi="Calibri" w:cs="Calibri"/>
        </w:rPr>
        <w:t>The scheme follows a passive investment strategy and will invest in silver regardless of its investment merit, without taking any defensive position in falling markets.</w:t>
      </w:r>
    </w:p>
    <w:p w14:paraId="0D8004C0"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Redemption Risk: </w:t>
      </w:r>
      <w:r w:rsidRPr="00B00090">
        <w:rPr>
          <w:rFonts w:ascii="Calibri" w:hAnsi="Calibri" w:cs="Calibri"/>
        </w:rPr>
        <w:t>The ETFs would repurchase units in creation-unit size only; holdings below the creation-unit size can only be sold through the secondary market, subject to exchange rules.</w:t>
      </w:r>
    </w:p>
    <w:p w14:paraId="0D8004C1"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Market Risk: </w:t>
      </w:r>
      <w:r w:rsidRPr="00B00090">
        <w:rPr>
          <w:rFonts w:ascii="Calibri" w:hAnsi="Calibri" w:cs="Calibri"/>
        </w:rPr>
        <w:t>The value of the Units relates directly to the value of silver held by the ETFs; fluctuations in the price of silver (due to demand &amp; supply, economic/political developments, interest rates, exchange rates, inflation trends, or RBI-imposed trade restrictions) could adversely affect investment value.</w:t>
      </w:r>
    </w:p>
    <w:p w14:paraId="0D8004C2"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Performance/Asset Class Risk: </w:t>
      </w:r>
      <w:r w:rsidRPr="00B00090">
        <w:rPr>
          <w:rFonts w:ascii="Calibri" w:hAnsi="Calibri" w:cs="Calibri"/>
        </w:rPr>
        <w:t>The performance of the ETFs has a direct bearing on the performance of silver; returns from physical silver may underperform returns from any other asset class.</w:t>
      </w:r>
    </w:p>
    <w:p w14:paraId="0D8004C3"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Currency Risk: </w:t>
      </w:r>
      <w:r w:rsidRPr="00B00090">
        <w:rPr>
          <w:rFonts w:ascii="Calibri" w:hAnsi="Calibri" w:cs="Calibri"/>
        </w:rPr>
        <w:t>The NAV of the units is based on the imported (landed) value of silver, computed using the international market price multiplied by the US Dollar value; the NAV therefore attracts all risk associated with such currency conversion.</w:t>
      </w:r>
    </w:p>
    <w:p w14:paraId="0D8004C4"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Operational Risk: </w:t>
      </w:r>
      <w:r w:rsidRPr="00B00090">
        <w:rPr>
          <w:rFonts w:ascii="Calibri" w:hAnsi="Calibri" w:cs="Calibri"/>
        </w:rPr>
        <w:t>Silver ETFs are relatively new products and their value could decrease if unanticipated operational or trading problems arise; there is no assurance that silver will maintain its long-term value.</w:t>
      </w:r>
    </w:p>
    <w:p w14:paraId="0D8004C5"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7. Market Risk (Gold, Silver and Equity)</w:t>
      </w:r>
    </w:p>
    <w:p w14:paraId="0D8004C6"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rPr>
        <w:t>The NAV of the Scheme will react to the prices of gold, silver, Gold/Silver Related Instruments (including Sovereign Gold Bonds) and stock market movements. Unit holders could lose money over short periods due to fluctuation in the NAV in response to economic and political developments, changes in interest rates, and perceived trends in stock/bullion prices, and over longer periods during market downturns. Prices of gold and silver may also be affected by global supply and demand, inflation expectations, currency exchange rates and interest rates; crises may motivate large-scale sales of gold/silver, decreasing domestic prices.</w:t>
      </w:r>
    </w:p>
    <w:p w14:paraId="0D8004C7"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8. Risks Associated with Investing in Derivatives</w:t>
      </w:r>
    </w:p>
    <w:p w14:paraId="0D8004C8"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Systematic/Market Risk: </w:t>
      </w:r>
      <w:r w:rsidRPr="00B00090">
        <w:rPr>
          <w:rFonts w:ascii="Calibri" w:hAnsi="Calibri" w:cs="Calibri"/>
        </w:rPr>
        <w:t>Risk associated with the entire market rather than a specific security or sector, arising from macro-economic factors and news events.</w:t>
      </w:r>
    </w:p>
    <w:p w14:paraId="0D8004C9"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Mark-to-Market Risk: </w:t>
      </w:r>
      <w:r w:rsidRPr="00B00090">
        <w:rPr>
          <w:rFonts w:ascii="Calibri" w:hAnsi="Calibri" w:cs="Calibri"/>
        </w:rPr>
        <w:t>Day-to-day fluctuations in the underlying security and its derivative instrument can adversely affect the portfolio.</w:t>
      </w:r>
    </w:p>
    <w:p w14:paraId="0D8004CA"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Credit (Counterparty) Risk: </w:t>
      </w:r>
      <w:r w:rsidRPr="00B00090">
        <w:rPr>
          <w:rFonts w:ascii="Calibri" w:hAnsi="Calibri" w:cs="Calibri"/>
        </w:rPr>
        <w:t>The risk that a derivative counterparty defaults on its obligations; this is generally small as a derivative transaction typically does not involve exchange of the principal amount.</w:t>
      </w:r>
    </w:p>
    <w:p w14:paraId="0D8004CB"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lastRenderedPageBreak/>
        <w:t xml:space="preserve">Interest Rate Risk: </w:t>
      </w:r>
      <w:r w:rsidRPr="00B00090">
        <w:rPr>
          <w:rFonts w:ascii="Calibri" w:hAnsi="Calibri" w:cs="Calibri"/>
        </w:rPr>
        <w:t>Derivatives carry the risk of adverse price changes arising from movements in interest rates.</w:t>
      </w:r>
    </w:p>
    <w:p w14:paraId="0D8004CC"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Basis Risk: </w:t>
      </w:r>
      <w:r w:rsidRPr="00B00090">
        <w:rPr>
          <w:rFonts w:ascii="Calibri" w:hAnsi="Calibri" w:cs="Calibri"/>
        </w:rPr>
        <w:t>Where a security is hedged using a derivative, price changes in the security and in the derivative may not be fully correlated.</w:t>
      </w:r>
    </w:p>
    <w:p w14:paraId="0D8004CD"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Liquidity Risk: </w:t>
      </w:r>
      <w:r w:rsidRPr="00B00090">
        <w:rPr>
          <w:rFonts w:ascii="Calibri" w:hAnsi="Calibri" w:cs="Calibri"/>
        </w:rPr>
        <w:t>The benchmark underlying a derivative may become illiquid during its life, or unwinding/selling prices may not reflect the underlying assets, rates or indices, causing a loss of value.</w:t>
      </w:r>
    </w:p>
    <w:p w14:paraId="0D8004CE"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Model Risk: </w:t>
      </w:r>
      <w:r w:rsidRPr="00B00090">
        <w:rPr>
          <w:rFonts w:ascii="Calibri" w:hAnsi="Calibri" w:cs="Calibri"/>
        </w:rPr>
        <w:t>The risk of mis-pricing or improper valuation of derivatives.</w:t>
      </w:r>
    </w:p>
    <w:p w14:paraId="0D8004CF"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Trade Execution Risk: </w:t>
      </w:r>
      <w:r w:rsidRPr="00B00090">
        <w:rPr>
          <w:rFonts w:ascii="Calibri" w:hAnsi="Calibri" w:cs="Calibri"/>
        </w:rPr>
        <w:t>The risk that the final execution price differs from the screen price, diluting spreads and affecting the profitability of the strategy.</w:t>
      </w:r>
    </w:p>
    <w:p w14:paraId="0D8004D0"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Systemic Risk: </w:t>
      </w:r>
      <w:r w:rsidRPr="00B00090">
        <w:rPr>
          <w:rFonts w:ascii="Calibri" w:hAnsi="Calibri" w:cs="Calibri"/>
        </w:rPr>
        <w:t>For OTC derivatives in particular, the failure of one counterparty can put the whole system at risk.</w:t>
      </w:r>
    </w:p>
    <w:p w14:paraId="0D8004D1"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Leverage Risk: </w:t>
      </w:r>
      <w:r w:rsidRPr="00B00090">
        <w:rPr>
          <w:rFonts w:ascii="Calibri" w:hAnsi="Calibri" w:cs="Calibri"/>
        </w:rPr>
        <w:t>Derivatives are highly leveraged instruments; a small price movement in the underlying can have a disproportionately large impact on value, leading to gains or losses greater than those from direct investment. Execution of derivative strategies depends on the fund manager's ability to identify and time opportunities correctly, which cannot be assured.</w:t>
      </w:r>
    </w:p>
    <w:p w14:paraId="0D8004D2"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9. Risks Associated with Investing in Money Market Instruments</w:t>
      </w:r>
    </w:p>
    <w:p w14:paraId="0D8004D3"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rPr>
        <w:t>Investments in money market instruments would involve a moderate credit risk, i.e. the risk of an issuer's inability to meet interest and principal payments. Money market instruments may also be subject to price volatility due to changes in interest rates, the general level of market liquidity, and market perception of the creditworthiness of the issuer. When interest rates in the market rise, the value of a portfolio of money market instruments can be expected to decline.</w:t>
      </w:r>
    </w:p>
    <w:p w14:paraId="0D8004D4"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10. Risk Factors Associated with Investments in REITs and InvITs</w:t>
      </w:r>
    </w:p>
    <w:p w14:paraId="0D8004D5"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Market Risk: </w:t>
      </w:r>
      <w:r w:rsidRPr="00B00090">
        <w:rPr>
          <w:rFonts w:ascii="Calibri" w:hAnsi="Calibri" w:cs="Calibri"/>
        </w:rPr>
        <w:t>REITs and InvITs investments are volatile and subject to price fluctuations on a daily basis owing to factors impacting the underlying assets; actual market movements may be at variance with the AMC/Fund Manager's anticipated trends.</w:t>
      </w:r>
    </w:p>
    <w:p w14:paraId="0D8004D6"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Liquidity Risk: </w:t>
      </w:r>
      <w:r w:rsidRPr="00B00090">
        <w:rPr>
          <w:rFonts w:ascii="Calibri" w:hAnsi="Calibri" w:cs="Calibri"/>
        </w:rPr>
        <w:t>The liquidity of REIT/InvIT investments could, at times, be restricted by trading volumes, settlement periods, dissolution of the trust, or potential delisting of units, increasing the time taken to liquidate such investments in the event of immediate redemption requirements.</w:t>
      </w:r>
    </w:p>
    <w:p w14:paraId="0D8004D7"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Reinvestment Risk: </w:t>
      </w:r>
      <w:r w:rsidRPr="00B00090">
        <w:rPr>
          <w:rFonts w:ascii="Calibri" w:hAnsi="Calibri" w:cs="Calibri"/>
        </w:rPr>
        <w:t>Investments in REITs &amp; InvITs may carry reinvestment risk as there could be repatriation of funds by the Trusts in the form of buyback of units or payout of Income Distribution cum Capital Withdrawal, with proceeds potentially reinvested in assets providing lower returns.</w:t>
      </w:r>
    </w:p>
    <w:p w14:paraId="0D8004D8"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Regulatory/Legal Risk: </w:t>
      </w:r>
      <w:r w:rsidRPr="00B00090">
        <w:rPr>
          <w:rFonts w:ascii="Calibri" w:hAnsi="Calibri" w:cs="Calibri"/>
        </w:rPr>
        <w:t>REITs and InvITs being new asset classes, the rights of unit holders (such as right to information) may differ from existing capital market asset classes under Indian law.</w:t>
      </w:r>
    </w:p>
    <w:p w14:paraId="0D8004D9"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11. Risks Associated with Investing in Tri-Party Repo through CCIL (TREPS)</w:t>
      </w:r>
    </w:p>
    <w:p w14:paraId="0D8004DA"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rPr>
        <w:t>All market repo and Tri-party Repo transactions are settled through the Clearing Corporation of India Limited (CCIL), which acts as a Central Counterparty (CCP) to all trades. Risk of exposure in TREPS, Repos &amp; Reverse Repos in Government Securities/Treasury Bills emanates mainly from: (a) risk of failure by a lender to make funds available or by a borrower to provide adequate collateral security under a Tri-party Repo/Repo transaction; and (b) risk of default by a borrower in repayment.</w:t>
      </w:r>
    </w:p>
    <w:p w14:paraId="0D8004DB"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12. Risk Factors Associated with Creation of a Segregated Portfolio</w:t>
      </w:r>
    </w:p>
    <w:p w14:paraId="0D8004DC"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rPr>
        <w:t>An investor holding units of a segregated portfolio may not be able to liquidate their holding until the time of recovery of money from the issuer, and the security comprising the segregated portfolio may not realise any value. Listing of segregated portfolio units on a recognized stock exchange does not necessarily guarantee liquidity — there may not be active trading, and the trading price may be significantly lower than the prevailing NAV.</w:t>
      </w:r>
    </w:p>
    <w:p w14:paraId="0D8004DD"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13. Risks Associated with the Covered Call Strategy</w:t>
      </w:r>
    </w:p>
    <w:p w14:paraId="0D8004DE"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lastRenderedPageBreak/>
        <w:t xml:space="preserve">Capped Upside / Specialised-Activity Risk: </w:t>
      </w:r>
      <w:r w:rsidRPr="00B00090">
        <w:rPr>
          <w:rFonts w:ascii="Calibri" w:hAnsi="Calibri" w:cs="Calibri"/>
        </w:rPr>
        <w:t>The Scheme may write call options under a covered-call strategy, as permitted by the Regulations. Writing call options entails higher-than-ordinary investment risk — profit is capped at the option premium, while downside depends on movements in the underlying equity shares (reduced only to the extent of the premium received).</w:t>
      </w:r>
    </w:p>
    <w:p w14:paraId="0D8004DF"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Exit/Liquidity Risk on Underlying: </w:t>
      </w:r>
      <w:r w:rsidRPr="00B00090">
        <w:rPr>
          <w:rFonts w:ascii="Calibri" w:hAnsi="Calibri" w:cs="Calibri"/>
        </w:rPr>
        <w:t>The Scheme may write covered call options only where it holds adequate underlying equity shares as per regulatory requirement. If covered call options are sold to the maximum extent permitted, the Scheme may not be able to sell the underlying shares immediately on a change of view, as the options must first be unwound, potentially leading to a loss of opportunity or temporary illiquidity of the underlying shares.</w:t>
      </w:r>
    </w:p>
    <w:p w14:paraId="0D8004E0"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Opportunity-Loss Risk: </w:t>
      </w:r>
      <w:r w:rsidRPr="00B00090">
        <w:rPr>
          <w:rFonts w:ascii="Calibri" w:hAnsi="Calibri" w:cs="Calibri"/>
        </w:rPr>
        <w:t>Writing a covered call option can lead to a loss of opportunity where the appreciation in the underlying equity share price exceeds the option premium received, causing the Scheme to forego part of the potential gain.</w:t>
      </w:r>
    </w:p>
    <w:p w14:paraId="0D8004E1"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14. Risks Associated with Short Selling and Securities Lending</w:t>
      </w:r>
    </w:p>
    <w:p w14:paraId="0D8004E2"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Securities Lending Risk: </w:t>
      </w:r>
      <w:r w:rsidRPr="00B00090">
        <w:rPr>
          <w:rFonts w:ascii="Calibri" w:hAnsi="Calibri" w:cs="Calibri"/>
        </w:rPr>
        <w:t>Lending of securities through an approved intermediary carries the risk of the counterparty failing to comply with the terms of the agreement, which could result in loss of rights to collateral, inability to recover the securities deposited by the lender, and loss of corporate benefits accruing on them.</w:t>
      </w:r>
    </w:p>
    <w:p w14:paraId="0D8004E3"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b/>
          <w:bCs/>
        </w:rPr>
        <w:t xml:space="preserve">Short-Selling Risk: </w:t>
      </w:r>
      <w:r w:rsidRPr="00B00090">
        <w:rPr>
          <w:rFonts w:ascii="Calibri" w:hAnsi="Calibri" w:cs="Calibri"/>
        </w:rPr>
        <w:t>In short selling, the Scheme sells borrowed securities and later buys them back to close the position. Key risks are counterparty risk and the liquidity risk of the borrowed security — the security may be or become illiquid, and covering the position may occur at a materially higher price than anticipated, leading to losses.</w:t>
      </w:r>
    </w:p>
    <w:p w14:paraId="0D8004E4" w14:textId="77777777" w:rsidR="001D79F8" w:rsidRPr="00B00090" w:rsidRDefault="00150BAD">
      <w:pPr>
        <w:pStyle w:val="Heading2"/>
        <w:spacing w:before="240" w:after="120"/>
        <w:rPr>
          <w:rFonts w:ascii="Calibri" w:hAnsi="Calibri" w:cs="Calibri"/>
          <w:sz w:val="20"/>
          <w:szCs w:val="20"/>
        </w:rPr>
      </w:pPr>
      <w:r w:rsidRPr="00B00090">
        <w:rPr>
          <w:rFonts w:ascii="Calibri" w:hAnsi="Calibri" w:cs="Calibri"/>
          <w:b/>
          <w:bCs/>
          <w:i/>
          <w:iCs/>
          <w:sz w:val="20"/>
          <w:szCs w:val="20"/>
        </w:rPr>
        <w:t>15. Risk Associated with Transacting through Email (Non-Individual Investors)</w:t>
      </w:r>
    </w:p>
    <w:p w14:paraId="0D8004E5" w14:textId="77777777" w:rsidR="001D79F8" w:rsidRPr="00B00090" w:rsidRDefault="00150BAD">
      <w:pPr>
        <w:pStyle w:val="ListParagraph"/>
        <w:numPr>
          <w:ilvl w:val="0"/>
          <w:numId w:val="2"/>
        </w:numPr>
        <w:spacing w:after="120"/>
        <w:rPr>
          <w:rFonts w:ascii="Calibri" w:hAnsi="Calibri" w:cs="Calibri"/>
        </w:rPr>
      </w:pPr>
      <w:r w:rsidRPr="00B00090">
        <w:rPr>
          <w:rFonts w:ascii="Calibri" w:hAnsi="Calibri" w:cs="Calibri"/>
        </w:rPr>
        <w:t>Email-based instructions are inherently vulnerable to interception, unauthorised access, phishing, spoofing, failed delivery and unintended transmission. The AMC does not accept responsibility for loss, damage or inconvenience arising from errors, delays, non-receipt or unauthorised access associated with transacting through email.</w:t>
      </w:r>
    </w:p>
    <w:sectPr w:rsidR="001D79F8" w:rsidRPr="00B00090">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06BC"/>
    <w:multiLevelType w:val="hybridMultilevel"/>
    <w:tmpl w:val="1EE805FA"/>
    <w:lvl w:ilvl="0" w:tplc="8272D3E2">
      <w:start w:val="1"/>
      <w:numFmt w:val="bullet"/>
      <w:lvlText w:val="●"/>
      <w:lvlJc w:val="left"/>
      <w:pPr>
        <w:ind w:left="720" w:hanging="360"/>
      </w:pPr>
    </w:lvl>
    <w:lvl w:ilvl="1" w:tplc="1166FD0E">
      <w:start w:val="1"/>
      <w:numFmt w:val="bullet"/>
      <w:lvlText w:val="○"/>
      <w:lvlJc w:val="left"/>
      <w:pPr>
        <w:ind w:left="1440" w:hanging="360"/>
      </w:pPr>
    </w:lvl>
    <w:lvl w:ilvl="2" w:tplc="C8EA52E2">
      <w:start w:val="1"/>
      <w:numFmt w:val="bullet"/>
      <w:lvlText w:val="■"/>
      <w:lvlJc w:val="left"/>
      <w:pPr>
        <w:ind w:left="2160" w:hanging="360"/>
      </w:pPr>
    </w:lvl>
    <w:lvl w:ilvl="3" w:tplc="2F2CFC54">
      <w:start w:val="1"/>
      <w:numFmt w:val="bullet"/>
      <w:lvlText w:val="●"/>
      <w:lvlJc w:val="left"/>
      <w:pPr>
        <w:ind w:left="2880" w:hanging="360"/>
      </w:pPr>
    </w:lvl>
    <w:lvl w:ilvl="4" w:tplc="D7EC0B28">
      <w:start w:val="1"/>
      <w:numFmt w:val="bullet"/>
      <w:lvlText w:val="○"/>
      <w:lvlJc w:val="left"/>
      <w:pPr>
        <w:ind w:left="3600" w:hanging="360"/>
      </w:pPr>
    </w:lvl>
    <w:lvl w:ilvl="5" w:tplc="38D83252">
      <w:start w:val="1"/>
      <w:numFmt w:val="bullet"/>
      <w:lvlText w:val="■"/>
      <w:lvlJc w:val="left"/>
      <w:pPr>
        <w:ind w:left="4320" w:hanging="360"/>
      </w:pPr>
    </w:lvl>
    <w:lvl w:ilvl="6" w:tplc="E7A2C126">
      <w:start w:val="1"/>
      <w:numFmt w:val="bullet"/>
      <w:lvlText w:val="●"/>
      <w:lvlJc w:val="left"/>
      <w:pPr>
        <w:ind w:left="5040" w:hanging="360"/>
      </w:pPr>
    </w:lvl>
    <w:lvl w:ilvl="7" w:tplc="437433B2">
      <w:start w:val="1"/>
      <w:numFmt w:val="bullet"/>
      <w:lvlText w:val="●"/>
      <w:lvlJc w:val="left"/>
      <w:pPr>
        <w:ind w:left="5760" w:hanging="360"/>
      </w:pPr>
    </w:lvl>
    <w:lvl w:ilvl="8" w:tplc="7D48BFC6">
      <w:start w:val="1"/>
      <w:numFmt w:val="bullet"/>
      <w:lvlText w:val="●"/>
      <w:lvlJc w:val="left"/>
      <w:pPr>
        <w:ind w:left="6480" w:hanging="360"/>
      </w:pPr>
    </w:lvl>
  </w:abstractNum>
  <w:abstractNum w:abstractNumId="1" w15:restartNumberingAfterBreak="0">
    <w:nsid w:val="590B30E9"/>
    <w:multiLevelType w:val="hybridMultilevel"/>
    <w:tmpl w:val="3C3C1CA0"/>
    <w:lvl w:ilvl="0" w:tplc="6ECCF4B2">
      <w:start w:val="1"/>
      <w:numFmt w:val="bullet"/>
      <w:lvlText w:val="•"/>
      <w:lvlJc w:val="left"/>
      <w:pPr>
        <w:ind w:left="504" w:hanging="288"/>
      </w:pPr>
    </w:lvl>
    <w:lvl w:ilvl="1" w:tplc="EC2009C8">
      <w:numFmt w:val="decimal"/>
      <w:lvlText w:val=""/>
      <w:lvlJc w:val="left"/>
    </w:lvl>
    <w:lvl w:ilvl="2" w:tplc="8426366E">
      <w:numFmt w:val="decimal"/>
      <w:lvlText w:val=""/>
      <w:lvlJc w:val="left"/>
    </w:lvl>
    <w:lvl w:ilvl="3" w:tplc="71AEBFB4">
      <w:numFmt w:val="decimal"/>
      <w:lvlText w:val=""/>
      <w:lvlJc w:val="left"/>
    </w:lvl>
    <w:lvl w:ilvl="4" w:tplc="E1D2E07C">
      <w:numFmt w:val="decimal"/>
      <w:lvlText w:val=""/>
      <w:lvlJc w:val="left"/>
    </w:lvl>
    <w:lvl w:ilvl="5" w:tplc="AF44709A">
      <w:numFmt w:val="decimal"/>
      <w:lvlText w:val=""/>
      <w:lvlJc w:val="left"/>
    </w:lvl>
    <w:lvl w:ilvl="6" w:tplc="2AAEB446">
      <w:numFmt w:val="decimal"/>
      <w:lvlText w:val=""/>
      <w:lvlJc w:val="left"/>
    </w:lvl>
    <w:lvl w:ilvl="7" w:tplc="8A42803E">
      <w:numFmt w:val="decimal"/>
      <w:lvlText w:val=""/>
      <w:lvlJc w:val="left"/>
    </w:lvl>
    <w:lvl w:ilvl="8" w:tplc="375666A6">
      <w:numFmt w:val="decimal"/>
      <w:lvlText w:val=""/>
      <w:lvlJc w:val="left"/>
    </w:lvl>
  </w:abstractNum>
  <w:abstractNum w:abstractNumId="2" w15:restartNumberingAfterBreak="0">
    <w:nsid w:val="76EA44A1"/>
    <w:multiLevelType w:val="hybridMultilevel"/>
    <w:tmpl w:val="506A615C"/>
    <w:lvl w:ilvl="0" w:tplc="8EC49EF8">
      <w:start w:val="1"/>
      <w:numFmt w:val="bullet"/>
      <w:lvlText w:val="•"/>
      <w:lvlJc w:val="left"/>
      <w:pPr>
        <w:ind w:left="504" w:hanging="288"/>
      </w:pPr>
    </w:lvl>
    <w:lvl w:ilvl="1" w:tplc="0FB4D9FE">
      <w:numFmt w:val="decimal"/>
      <w:lvlText w:val=""/>
      <w:lvlJc w:val="left"/>
    </w:lvl>
    <w:lvl w:ilvl="2" w:tplc="9FA87604">
      <w:numFmt w:val="decimal"/>
      <w:lvlText w:val=""/>
      <w:lvlJc w:val="left"/>
    </w:lvl>
    <w:lvl w:ilvl="3" w:tplc="0E7AC4C8">
      <w:numFmt w:val="decimal"/>
      <w:lvlText w:val=""/>
      <w:lvlJc w:val="left"/>
    </w:lvl>
    <w:lvl w:ilvl="4" w:tplc="ABCAFEE4">
      <w:numFmt w:val="decimal"/>
      <w:lvlText w:val=""/>
      <w:lvlJc w:val="left"/>
    </w:lvl>
    <w:lvl w:ilvl="5" w:tplc="23967FE6">
      <w:numFmt w:val="decimal"/>
      <w:lvlText w:val=""/>
      <w:lvlJc w:val="left"/>
    </w:lvl>
    <w:lvl w:ilvl="6" w:tplc="0728D7D2">
      <w:numFmt w:val="decimal"/>
      <w:lvlText w:val=""/>
      <w:lvlJc w:val="left"/>
    </w:lvl>
    <w:lvl w:ilvl="7" w:tplc="480077A8">
      <w:numFmt w:val="decimal"/>
      <w:lvlText w:val=""/>
      <w:lvlJc w:val="left"/>
    </w:lvl>
    <w:lvl w:ilvl="8" w:tplc="0C0ECA96">
      <w:numFmt w:val="decimal"/>
      <w:lvlText w:val=""/>
      <w:lvlJc w:val="left"/>
    </w:lvl>
  </w:abstractNum>
  <w:num w:numId="1" w16cid:durableId="1432815876">
    <w:abstractNumId w:val="0"/>
    <w:lvlOverride w:ilvl="0">
      <w:startOverride w:val="1"/>
    </w:lvlOverride>
  </w:num>
  <w:num w:numId="2" w16cid:durableId="147397920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F8"/>
    <w:rsid w:val="000E5B5A"/>
    <w:rsid w:val="00150BAD"/>
    <w:rsid w:val="001D79F8"/>
    <w:rsid w:val="001F54BC"/>
    <w:rsid w:val="008F2F80"/>
    <w:rsid w:val="00941371"/>
    <w:rsid w:val="00B00090"/>
    <w:rsid w:val="00E1268A"/>
    <w:rsid w:val="00ED3ACE"/>
    <w:rsid w:val="00F21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0048B"/>
  <w15:docId w15:val="{59B7A1FB-1BBA-4EC1-B7D4-9387F2692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2766</Words>
  <Characters>15769</Characters>
  <Application>Microsoft Office Word</Application>
  <DocSecurity>0</DocSecurity>
  <Lines>131</Lines>
  <Paragraphs>36</Paragraphs>
  <ScaleCrop>false</ScaleCrop>
  <Company/>
  <LinksUpToDate>false</LinksUpToDate>
  <CharactersWithSpaces>18499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Rishabh Kabra</cp:lastModifiedBy>
  <cp:revision>5</cp:revision>
  <dcterms:created xsi:type="dcterms:W3CDTF">2026-08-24T07:24:00Z</dcterms:created>
  <dcterms:modified xsi:type="dcterms:W3CDTF">2026-08-24T09:28:00Z</dcterms:modified>
</cp:coreProperties>
</file>