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F7B3" w14:textId="77777777" w:rsidR="003F177D" w:rsidRPr="00D5205E" w:rsidRDefault="003014A5" w:rsidP="00D5205E">
      <w:pPr>
        <w:spacing w:after="100"/>
        <w:rPr>
          <w:rFonts w:ascii="Calibri" w:hAnsi="Calibri" w:cs="Calibri"/>
        </w:rPr>
      </w:pPr>
      <w:r w:rsidRPr="00D5205E">
        <w:rPr>
          <w:rFonts w:ascii="Calibri" w:hAnsi="Calibri" w:cs="Calibri"/>
          <w:b/>
          <w:bCs/>
        </w:rPr>
        <w:t>Risk Factors — Shriram Money Market Fund</w:t>
      </w:r>
    </w:p>
    <w:p w14:paraId="4AEAF7B7" w14:textId="08948D23" w:rsidR="003F177D" w:rsidRPr="00D5205E" w:rsidRDefault="003014A5">
      <w:pPr>
        <w:pStyle w:val="Heading1"/>
        <w:spacing w:before="300" w:after="150"/>
        <w:rPr>
          <w:rFonts w:ascii="Calibri" w:hAnsi="Calibri" w:cs="Calibri"/>
          <w:sz w:val="20"/>
          <w:szCs w:val="20"/>
        </w:rPr>
      </w:pPr>
      <w:r w:rsidRPr="00D5205E">
        <w:rPr>
          <w:rFonts w:ascii="Calibri" w:hAnsi="Calibri" w:cs="Calibri"/>
          <w:sz w:val="20"/>
          <w:szCs w:val="20"/>
        </w:rPr>
        <w:t xml:space="preserve">Section A — Summary Risk Factors </w:t>
      </w:r>
    </w:p>
    <w:p w14:paraId="4AEAF7B9"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Interest Rate Risk: </w:t>
      </w:r>
      <w:r w:rsidRPr="00D5205E">
        <w:rPr>
          <w:rFonts w:ascii="Calibri" w:hAnsi="Calibri" w:cs="Calibri"/>
        </w:rPr>
        <w:t>Changes in interest rates may affect the value of money-market and debt securities.</w:t>
      </w:r>
    </w:p>
    <w:p w14:paraId="4AEAF7BA"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Credit Risk: </w:t>
      </w:r>
      <w:r w:rsidRPr="00D5205E">
        <w:rPr>
          <w:rFonts w:ascii="Calibri" w:hAnsi="Calibri" w:cs="Calibri"/>
        </w:rPr>
        <w:t>Issuer default or deterioration in credit quality may adversely affect the Scheme.</w:t>
      </w:r>
    </w:p>
    <w:p w14:paraId="4AEAF7BB"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Liquidity Risk: </w:t>
      </w:r>
      <w:r w:rsidRPr="00D5205E">
        <w:rPr>
          <w:rFonts w:ascii="Calibri" w:hAnsi="Calibri" w:cs="Calibri"/>
        </w:rPr>
        <w:t>Certain money-market instruments may face liquidity constraints during stressed market conditions.</w:t>
      </w:r>
    </w:p>
    <w:p w14:paraId="4AEAF7BC"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Reinvestment Risk: </w:t>
      </w:r>
      <w:r w:rsidRPr="00D5205E">
        <w:rPr>
          <w:rFonts w:ascii="Calibri" w:hAnsi="Calibri" w:cs="Calibri"/>
        </w:rPr>
        <w:t>Maturity proceeds may be reinvested at lower prevailing interest rates.</w:t>
      </w:r>
    </w:p>
    <w:p w14:paraId="4AEAF7BD"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Market Risk: </w:t>
      </w:r>
      <w:r w:rsidRPr="00D5205E">
        <w:rPr>
          <w:rFonts w:ascii="Calibri" w:hAnsi="Calibri" w:cs="Calibri"/>
        </w:rPr>
        <w:t>Changes in market conditions and credit spreads may affect security prices and NAV.</w:t>
      </w:r>
    </w:p>
    <w:p w14:paraId="4AEAF7BE"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Counterparty Risk: </w:t>
      </w:r>
      <w:r w:rsidRPr="00D5205E">
        <w:rPr>
          <w:rFonts w:ascii="Calibri" w:hAnsi="Calibri" w:cs="Calibri"/>
        </w:rPr>
        <w:t>Transactions with counterparties may expose the Scheme to counterparty default risk.</w:t>
      </w:r>
    </w:p>
    <w:p w14:paraId="4AEAF7BF"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Settlement Risk: </w:t>
      </w:r>
      <w:r w:rsidRPr="00D5205E">
        <w:rPr>
          <w:rFonts w:ascii="Calibri" w:hAnsi="Calibri" w:cs="Calibri"/>
        </w:rPr>
        <w:t>Failure or delay in settlement may adversely affect the Scheme.</w:t>
      </w:r>
    </w:p>
    <w:p w14:paraId="4AEAF7C1" w14:textId="5F643527" w:rsidR="003F177D" w:rsidRPr="00D5205E" w:rsidRDefault="003014A5" w:rsidP="00513C2A">
      <w:pPr>
        <w:pStyle w:val="Heading1"/>
        <w:spacing w:before="300" w:after="150"/>
        <w:rPr>
          <w:rFonts w:ascii="Calibri" w:hAnsi="Calibri" w:cs="Calibri"/>
          <w:sz w:val="20"/>
          <w:szCs w:val="20"/>
        </w:rPr>
      </w:pPr>
      <w:r w:rsidRPr="00D5205E">
        <w:rPr>
          <w:rFonts w:ascii="Calibri" w:hAnsi="Calibri" w:cs="Calibri"/>
          <w:sz w:val="20"/>
          <w:szCs w:val="20"/>
        </w:rPr>
        <w:t>Section B — Detailed Risk Factors</w:t>
      </w:r>
    </w:p>
    <w:p w14:paraId="4AEAF7C2" w14:textId="77777777" w:rsidR="003F177D" w:rsidRPr="00D5205E" w:rsidRDefault="003014A5">
      <w:pPr>
        <w:pStyle w:val="Heading2"/>
        <w:spacing w:before="250" w:after="120"/>
        <w:rPr>
          <w:rFonts w:ascii="Calibri" w:hAnsi="Calibri" w:cs="Calibri"/>
          <w:sz w:val="20"/>
          <w:szCs w:val="20"/>
        </w:rPr>
      </w:pPr>
      <w:r w:rsidRPr="00D5205E">
        <w:rPr>
          <w:rFonts w:ascii="Calibri" w:hAnsi="Calibri" w:cs="Calibri"/>
          <w:sz w:val="20"/>
          <w:szCs w:val="20"/>
        </w:rPr>
        <w:t>1. Standard Risk Factors</w:t>
      </w:r>
    </w:p>
    <w:p w14:paraId="4AEAF7C3"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Investment in Mutual Fund units involves investment risks such as trading volumes, settlement risk, liquidity risk, default risk including the possible loss of principal.</w:t>
      </w:r>
    </w:p>
    <w:p w14:paraId="4AEAF7C4"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As the price / value / interest rate of the securities in which the Scheme invests fluctuates, the value of your investment in the scheme can go up or down depending on various factors and forces affecting capital markets and money markets.</w:t>
      </w:r>
    </w:p>
    <w:p w14:paraId="4AEAF7C5"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Past performance of the Sponsor(s) / AMC / Mutual Fund does not guarantee the future performance of the Scheme.</w:t>
      </w:r>
    </w:p>
    <w:p w14:paraId="4AEAF7C6"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 xml:space="preserve">The name of the Scheme does not in any manner indicate its quality or its </w:t>
      </w:r>
      <w:proofErr w:type="gramStart"/>
      <w:r w:rsidRPr="00D5205E">
        <w:rPr>
          <w:rFonts w:ascii="Calibri" w:hAnsi="Calibri" w:cs="Calibri"/>
        </w:rPr>
        <w:t>future prospects</w:t>
      </w:r>
      <w:proofErr w:type="gramEnd"/>
      <w:r w:rsidRPr="00D5205E">
        <w:rPr>
          <w:rFonts w:ascii="Calibri" w:hAnsi="Calibri" w:cs="Calibri"/>
        </w:rPr>
        <w:t xml:space="preserve"> and returns.</w:t>
      </w:r>
    </w:p>
    <w:p w14:paraId="4AEAF7C7"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The Sponsor(s) are not responsible or liable for any loss resulting from the operation of the Scheme beyond the initial contribution of Rs. 1 lakh each made by it towards setting up the Fund.</w:t>
      </w:r>
    </w:p>
    <w:p w14:paraId="4AEAF7C8"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The present scheme is not a guaranteed or assured return scheme.</w:t>
      </w:r>
    </w:p>
    <w:p w14:paraId="4AEAF7CA" w14:textId="77777777" w:rsidR="003F177D" w:rsidRPr="00D5205E" w:rsidRDefault="003014A5">
      <w:pPr>
        <w:pStyle w:val="Heading2"/>
        <w:spacing w:before="250" w:after="120"/>
        <w:rPr>
          <w:rFonts w:ascii="Calibri" w:hAnsi="Calibri" w:cs="Calibri"/>
          <w:sz w:val="20"/>
          <w:szCs w:val="20"/>
        </w:rPr>
      </w:pPr>
      <w:r w:rsidRPr="00D5205E">
        <w:rPr>
          <w:rFonts w:ascii="Calibri" w:hAnsi="Calibri" w:cs="Calibri"/>
          <w:sz w:val="20"/>
          <w:szCs w:val="20"/>
        </w:rPr>
        <w:t>2. Scheme Specific Risk Factors</w:t>
      </w:r>
    </w:p>
    <w:p w14:paraId="4AEAF7CB" w14:textId="77777777" w:rsidR="003F177D" w:rsidRPr="00D5205E" w:rsidRDefault="003014A5">
      <w:pPr>
        <w:spacing w:after="150"/>
        <w:rPr>
          <w:rFonts w:ascii="Calibri" w:hAnsi="Calibri" w:cs="Calibri"/>
        </w:rPr>
      </w:pPr>
      <w:r w:rsidRPr="00D5205E">
        <w:rPr>
          <w:rFonts w:ascii="Calibri" w:hAnsi="Calibri" w:cs="Calibri"/>
        </w:rPr>
        <w:t>Some of the specific risk factors related to the scheme include, but are not limited to the following:</w:t>
      </w:r>
    </w:p>
    <w:p w14:paraId="4AEAF7CC"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factors associated with investing in Debt Securities and Money Market Instruments</w:t>
      </w:r>
    </w:p>
    <w:p w14:paraId="4AEAF7CD" w14:textId="77777777" w:rsidR="003F177D" w:rsidRPr="00D5205E" w:rsidRDefault="003014A5">
      <w:pPr>
        <w:spacing w:after="150"/>
        <w:rPr>
          <w:rFonts w:ascii="Calibri" w:hAnsi="Calibri" w:cs="Calibri"/>
        </w:rPr>
      </w:pPr>
      <w:r w:rsidRPr="00D5205E">
        <w:rPr>
          <w:rFonts w:ascii="Calibri" w:hAnsi="Calibri" w:cs="Calibri"/>
        </w:rPr>
        <w:t>The scheme will invest in money market instruments, which are subject to credit risk, interest rate risk, and settlement risk. Credit risk arises from the possibility that the issuer of a security may default on its payment obligations. Interest rate risk affects the valuation of money market instruments, while settlement risk may delay the realization of proceeds from the sale of these instruments.</w:t>
      </w:r>
    </w:p>
    <w:p w14:paraId="4AEAF7CE"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Market Risk / Interest Rate Risk: </w:t>
      </w:r>
      <w:r w:rsidRPr="00D5205E">
        <w:rPr>
          <w:rFonts w:ascii="Calibri" w:hAnsi="Calibri" w:cs="Calibri"/>
        </w:rPr>
        <w:t>The Net Asset Value (NAV) of the Scheme, to the extent that it is invested in Debt and Money Market instruments, will be influenced by changes in general interest rates. A decrease in interest rates is expected to result in an increase in the NAV, while an increase in interest rates would adversely affect the NAV.</w:t>
      </w:r>
    </w:p>
    <w:p w14:paraId="4AEAF7CF"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Liquidity Risk: </w:t>
      </w:r>
      <w:r w:rsidRPr="00D5205E">
        <w:rPr>
          <w:rFonts w:ascii="Calibri" w:hAnsi="Calibri" w:cs="Calibri"/>
        </w:rPr>
        <w:t>While money market instruments are relatively liquid, they lack a well-developed secondary market, which may limit the Scheme's ability to sell these instruments and could result in losses until the securities are eventually sold.</w:t>
      </w:r>
    </w:p>
    <w:p w14:paraId="4AEAF7D0"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Credit Risk: </w:t>
      </w:r>
      <w:r w:rsidRPr="00D5205E">
        <w:rPr>
          <w:rFonts w:ascii="Calibri" w:hAnsi="Calibri" w:cs="Calibri"/>
        </w:rPr>
        <w:t>Investments in money market instruments involve credit risk, as reflected in the short-term rating of the issuers. It is the risk of an issuer's inability to meet interest and principal payments on its obligations and market perception of the creditworthiness of the issuer. Investments in Debt instruments are subject to varying degrees of credit risk, including the risk of default. The Investment Manager will attempt to manage credit risk through in-house credit analysis.</w:t>
      </w:r>
    </w:p>
    <w:p w14:paraId="4AEAF7D1"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lastRenderedPageBreak/>
        <w:t xml:space="preserve">Prepayment Risk: </w:t>
      </w:r>
      <w:r w:rsidRPr="00D5205E">
        <w:rPr>
          <w:rFonts w:ascii="Calibri" w:hAnsi="Calibri" w:cs="Calibri"/>
        </w:rPr>
        <w:t>Some fixed-income securities give the issuer the right to call back the securities before their maturity date, particularly in periods of declining interest rates. This prepayment risk may force the Scheme to reinvest the proceeds at lower yields, resulting in reduced interest income.</w:t>
      </w:r>
    </w:p>
    <w:p w14:paraId="4AEAF7D2"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Reinvestment Risk: </w:t>
      </w:r>
      <w:r w:rsidRPr="00D5205E">
        <w:rPr>
          <w:rFonts w:ascii="Calibri" w:hAnsi="Calibri" w:cs="Calibri"/>
        </w:rPr>
        <w:t xml:space="preserve">This risk pertains to the interest rate levels </w:t>
      </w:r>
      <w:proofErr w:type="gramStart"/>
      <w:r w:rsidRPr="00D5205E">
        <w:rPr>
          <w:rFonts w:ascii="Calibri" w:hAnsi="Calibri" w:cs="Calibri"/>
        </w:rPr>
        <w:t>at</w:t>
      </w:r>
      <w:proofErr w:type="gramEnd"/>
      <w:r w:rsidRPr="00D5205E">
        <w:rPr>
          <w:rFonts w:ascii="Calibri" w:hAnsi="Calibri" w:cs="Calibri"/>
        </w:rPr>
        <w:t xml:space="preserve"> which cash flows received from the securities in the Scheme are reinvested. The concern is that these cash flows may need to be reinvested at a lower rate than originally anticipated, thereby reducing the “interest on interest” component of returns.</w:t>
      </w:r>
    </w:p>
    <w:p w14:paraId="4AEAF7D3"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Settlement Risk: </w:t>
      </w:r>
      <w:r w:rsidRPr="00D5205E">
        <w:rPr>
          <w:rFonts w:ascii="Calibri" w:hAnsi="Calibri" w:cs="Calibri"/>
        </w:rPr>
        <w:t>Different segments of the Indian financial markets have varying settlement periods, which may be extended due to unforeseen circumstances. Settlement delays could lead to periods where the Scheme's assets are uninvested, resulting in no returns. The Scheme may also miss certain investment opportunities or face potential losses from the inability to sell securities due to a lack of a well-developed and liquid secondary market.</w:t>
      </w:r>
    </w:p>
    <w:p w14:paraId="4AEAF7D4"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Risks associated with investment in unlisted securities: </w:t>
      </w:r>
      <w:r w:rsidRPr="00D5205E">
        <w:rPr>
          <w:rFonts w:ascii="Calibri" w:hAnsi="Calibri" w:cs="Calibri"/>
        </w:rPr>
        <w:t>Except for any security of an associate or group company, the scheme may invest in unlisted securities which in general are subject to greater price fluctuations, less liquidity and greater risk than listed securities. The AMC may choose to invest in unlisted securities that offer attractive yields, which could increase the risk of the portfolio.</w:t>
      </w:r>
    </w:p>
    <w:p w14:paraId="4AEAF7D5"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b/>
          <w:bCs/>
        </w:rPr>
        <w:t xml:space="preserve">Price Risk: </w:t>
      </w:r>
      <w:r w:rsidRPr="00D5205E">
        <w:rPr>
          <w:rFonts w:ascii="Calibri" w:hAnsi="Calibri" w:cs="Calibri"/>
        </w:rPr>
        <w:t>Government securities where a fixed return is offered run price-risk like any other fixed income security. Generally, when interest rates rise, prices of fixed income securities fall, and vice versa. Government Securities are unique in that their local currency credit risk generally remains zero, so their prices are primarily influenced by movements in interest rates.</w:t>
      </w:r>
    </w:p>
    <w:p w14:paraId="4AEAF7D6"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rPr>
        <w:t>Different types of fixed income securities in which the Scheme would invest carry different levels and types of risk. Corporate bonds carry a higher level of risk than Government securities, and even among corporate bonds, AAA rated bonds are comparatively less risky than AA rated bonds.</w:t>
      </w:r>
    </w:p>
    <w:p w14:paraId="4AEAF7D7" w14:textId="77777777" w:rsidR="003F177D" w:rsidRPr="00D5205E" w:rsidRDefault="003014A5">
      <w:pPr>
        <w:pStyle w:val="ListParagraph"/>
        <w:numPr>
          <w:ilvl w:val="0"/>
          <w:numId w:val="3"/>
        </w:numPr>
        <w:spacing w:after="100"/>
        <w:rPr>
          <w:rFonts w:ascii="Calibri" w:hAnsi="Calibri" w:cs="Calibri"/>
        </w:rPr>
      </w:pPr>
      <w:r w:rsidRPr="00D5205E">
        <w:rPr>
          <w:rFonts w:ascii="Calibri" w:hAnsi="Calibri" w:cs="Calibri"/>
        </w:rPr>
        <w:t xml:space="preserve">As zero-coupon securities do not provide periodic interest payments, they are more sensitive to changes in interest rates and therefore carry higher interest rate </w:t>
      </w:r>
      <w:proofErr w:type="gramStart"/>
      <w:r w:rsidRPr="00D5205E">
        <w:rPr>
          <w:rFonts w:ascii="Calibri" w:hAnsi="Calibri" w:cs="Calibri"/>
        </w:rPr>
        <w:t>risk</w:t>
      </w:r>
      <w:proofErr w:type="gramEnd"/>
      <w:r w:rsidRPr="00D5205E">
        <w:rPr>
          <w:rFonts w:ascii="Calibri" w:hAnsi="Calibri" w:cs="Calibri"/>
        </w:rPr>
        <w:t>. The AMC may choose to invest in zero coupon securities offering attractive yields, which may increase the risk of the portfolio.</w:t>
      </w:r>
    </w:p>
    <w:p w14:paraId="4AEAF7D8"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Systematic Risk</w:t>
      </w:r>
    </w:p>
    <w:p w14:paraId="4AEAF7D9" w14:textId="77777777" w:rsidR="003F177D" w:rsidRPr="00D5205E" w:rsidRDefault="003014A5">
      <w:pPr>
        <w:spacing w:after="150"/>
        <w:rPr>
          <w:rFonts w:ascii="Calibri" w:hAnsi="Calibri" w:cs="Calibri"/>
        </w:rPr>
      </w:pPr>
      <w:r w:rsidRPr="00D5205E">
        <w:rPr>
          <w:rFonts w:ascii="Calibri" w:hAnsi="Calibri" w:cs="Calibri"/>
        </w:rPr>
        <w:t xml:space="preserve">The scheme is exposed to systematic risks that affect the entire market, such as economic recessions, changes in interest rates, geopolitical tensions, and natural disasters. These risks cannot be mitigated through diversification, and any negative macroeconomic developments could </w:t>
      </w:r>
      <w:proofErr w:type="gramStart"/>
      <w:r w:rsidRPr="00D5205E">
        <w:rPr>
          <w:rFonts w:ascii="Calibri" w:hAnsi="Calibri" w:cs="Calibri"/>
        </w:rPr>
        <w:t>impact</w:t>
      </w:r>
      <w:proofErr w:type="gramEnd"/>
      <w:r w:rsidRPr="00D5205E">
        <w:rPr>
          <w:rFonts w:ascii="Calibri" w:hAnsi="Calibri" w:cs="Calibri"/>
        </w:rPr>
        <w:t xml:space="preserve"> the overall performance of the scheme.</w:t>
      </w:r>
    </w:p>
    <w:p w14:paraId="4AEAF7DA"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Legal and Regulatory Risks</w:t>
      </w:r>
    </w:p>
    <w:p w14:paraId="4AEAF7DB" w14:textId="77777777" w:rsidR="003F177D" w:rsidRPr="00D5205E" w:rsidRDefault="003014A5">
      <w:pPr>
        <w:spacing w:after="150"/>
        <w:rPr>
          <w:rFonts w:ascii="Calibri" w:hAnsi="Calibri" w:cs="Calibri"/>
        </w:rPr>
      </w:pPr>
      <w:r w:rsidRPr="00D5205E">
        <w:rPr>
          <w:rFonts w:ascii="Calibri" w:hAnsi="Calibri" w:cs="Calibri"/>
        </w:rPr>
        <w:t>Changes in laws, regulations, or accounting standards governing the scheme's operations could have adverse implications for the scheme and its investors. Regulatory actions, legal disputes, or changes in taxation could also affect the scheme's performance, NAV, and the investors' returns.</w:t>
      </w:r>
    </w:p>
    <w:p w14:paraId="4AEAF7DC"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factors associated with investment in Tri-Party Repo</w:t>
      </w:r>
    </w:p>
    <w:p w14:paraId="4AEAF7DD" w14:textId="77777777" w:rsidR="003F177D" w:rsidRPr="00D5205E" w:rsidRDefault="003014A5">
      <w:pPr>
        <w:spacing w:after="150"/>
        <w:rPr>
          <w:rFonts w:ascii="Calibri" w:hAnsi="Calibri" w:cs="Calibri"/>
        </w:rPr>
      </w:pPr>
      <w:r w:rsidRPr="00D5205E">
        <w:rPr>
          <w:rFonts w:ascii="Calibri" w:hAnsi="Calibri" w:cs="Calibri"/>
        </w:rPr>
        <w:t xml:space="preserve">All transactions of the mutual fund in government securities and Tri-party Repo trades are settled centrally through the infrastructure of Clearing Corporation of India (CCIL), reducing settlement and counterparty risks considerably. Members are required to contribute to CCIL's default fund as part of the default waterfall mechanism. The Scheme is subject to the risk of the initial margin and default fund contribution being invoked in the event of failure of any settlement </w:t>
      </w:r>
      <w:proofErr w:type="gramStart"/>
      <w:r w:rsidRPr="00D5205E">
        <w:rPr>
          <w:rFonts w:ascii="Calibri" w:hAnsi="Calibri" w:cs="Calibri"/>
        </w:rPr>
        <w:t>obligations, and</w:t>
      </w:r>
      <w:proofErr w:type="gramEnd"/>
      <w:r w:rsidRPr="00D5205E">
        <w:rPr>
          <w:rFonts w:ascii="Calibri" w:hAnsi="Calibri" w:cs="Calibri"/>
        </w:rPr>
        <w:t xml:space="preserve"> may lose an amount equivalent to its contribution to the default fund if called upon to absorb settlement/default losses of another member.</w:t>
      </w:r>
    </w:p>
    <w:p w14:paraId="4AEAF7DE"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factors associated with investing in Derivatives</w:t>
      </w:r>
    </w:p>
    <w:p w14:paraId="4AEAF7DF" w14:textId="77777777" w:rsidR="003F177D" w:rsidRPr="00D5205E" w:rsidRDefault="003014A5">
      <w:pPr>
        <w:spacing w:after="150"/>
        <w:rPr>
          <w:rFonts w:ascii="Calibri" w:hAnsi="Calibri" w:cs="Calibri"/>
        </w:rPr>
      </w:pPr>
      <w:r w:rsidRPr="00D5205E">
        <w:rPr>
          <w:rFonts w:ascii="Calibri" w:hAnsi="Calibri" w:cs="Calibri"/>
        </w:rPr>
        <w:t>Derivative products are leveraged instruments and can provide disproportionate gains as well as disproportionate losses to the Investor. Execution of investment strategies depends upon the ability of the fund manager(s) to identify such opportunities, which may not always be available. The risks associated with the use of derivatives are different from, or possibly greater than, the risks associated with investing directly in securities. The scheme may use derivative instruments like Interest Rate Swaps, Forward Rate Agreements or other fixed income derivatives.</w:t>
      </w:r>
    </w:p>
    <w:p w14:paraId="4AEAF7E0"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lastRenderedPageBreak/>
        <w:t xml:space="preserve">Leverage Risk: </w:t>
      </w:r>
      <w:r w:rsidRPr="00D5205E">
        <w:rPr>
          <w:rFonts w:ascii="Calibri" w:hAnsi="Calibri" w:cs="Calibri"/>
        </w:rPr>
        <w:t>Derivative products are leveraged instruments and can lead to disproportionate gains as well as losses. There is no assurance that the fund manager will successfully identify or execute such strategies.</w:t>
      </w:r>
    </w:p>
    <w:p w14:paraId="4AEAF7E1"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Risk Comparison: </w:t>
      </w:r>
      <w:r w:rsidRPr="00D5205E">
        <w:rPr>
          <w:rFonts w:ascii="Calibri" w:hAnsi="Calibri" w:cs="Calibri"/>
        </w:rPr>
        <w:t>The risks associated with the use of derivatives are distinct from, and may be greater than, those associated with direct investment in securities and other traditional investments.</w:t>
      </w:r>
    </w:p>
    <w:p w14:paraId="4AEAF7E2"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Credit Risk: </w:t>
      </w:r>
      <w:r w:rsidRPr="00D5205E">
        <w:rPr>
          <w:rFonts w:ascii="Calibri" w:hAnsi="Calibri" w:cs="Calibri"/>
        </w:rPr>
        <w:t>The credit risk in derivative transactions is the possibility that the counterparty will default on its obligations; this risk is generally low as derivative transactions typically do not involve an exchange of principal amounts.</w:t>
      </w:r>
    </w:p>
    <w:p w14:paraId="4AEAF7E3"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Market Risk: </w:t>
      </w:r>
      <w:r w:rsidRPr="00D5205E">
        <w:rPr>
          <w:rFonts w:ascii="Calibri" w:hAnsi="Calibri" w:cs="Calibri"/>
        </w:rPr>
        <w:t xml:space="preserve">Adverse market movements can negatively </w:t>
      </w:r>
      <w:proofErr w:type="gramStart"/>
      <w:r w:rsidRPr="00D5205E">
        <w:rPr>
          <w:rFonts w:ascii="Calibri" w:hAnsi="Calibri" w:cs="Calibri"/>
        </w:rPr>
        <w:t>impact</w:t>
      </w:r>
      <w:proofErr w:type="gramEnd"/>
      <w:r w:rsidRPr="00D5205E">
        <w:rPr>
          <w:rFonts w:ascii="Calibri" w:hAnsi="Calibri" w:cs="Calibri"/>
        </w:rPr>
        <w:t xml:space="preserve"> the pricing and settlement of derivatives.</w:t>
      </w:r>
    </w:p>
    <w:p w14:paraId="4AEAF7E4"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Illiquidity Risk: </w:t>
      </w:r>
      <w:r w:rsidRPr="00D5205E">
        <w:rPr>
          <w:rFonts w:ascii="Calibri" w:hAnsi="Calibri" w:cs="Calibri"/>
        </w:rPr>
        <w:t>This risk arises when a derivative cannot be sold or purchased quickly at a fair price due to a lack of market liquidity.</w:t>
      </w:r>
    </w:p>
    <w:p w14:paraId="4AEAF7E5"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investment in Credit Default Swap (CDS)</w:t>
      </w:r>
    </w:p>
    <w:p w14:paraId="4AEAF7E6" w14:textId="77777777" w:rsidR="003F177D" w:rsidRPr="00D5205E" w:rsidRDefault="003014A5">
      <w:pPr>
        <w:spacing w:after="150"/>
        <w:rPr>
          <w:rFonts w:ascii="Calibri" w:hAnsi="Calibri" w:cs="Calibri"/>
        </w:rPr>
      </w:pPr>
      <w:r w:rsidRPr="00D5205E">
        <w:rPr>
          <w:rFonts w:ascii="Calibri" w:hAnsi="Calibri" w:cs="Calibri"/>
        </w:rPr>
        <w:t>Mutual Fund schemes can buy CDS to hedge credit risk of corporate bond holdings in the portfolio. Below are the associated risks:</w:t>
      </w:r>
    </w:p>
    <w:p w14:paraId="4AEAF7E7"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Counterparty Risk: </w:t>
      </w:r>
      <w:r w:rsidRPr="00D5205E">
        <w:rPr>
          <w:rFonts w:ascii="Calibri" w:hAnsi="Calibri" w:cs="Calibri"/>
        </w:rPr>
        <w:t>This is the risk that the seller of the CDS might default on their obligation. If the counterparty fails to pay in the event of a default by the bond issuer, the mutual fund could face significant losses.</w:t>
      </w:r>
    </w:p>
    <w:p w14:paraId="4AEAF7E8"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Market Liquidity Risk: </w:t>
      </w:r>
      <w:r w:rsidRPr="00D5205E">
        <w:rPr>
          <w:rFonts w:ascii="Calibri" w:hAnsi="Calibri" w:cs="Calibri"/>
        </w:rPr>
        <w:t>The CDS market can become illiquid during periods of financial stress, making it difficult to buy or sell CDS contracts at favourable prices when required.</w:t>
      </w:r>
    </w:p>
    <w:p w14:paraId="4AEAF7E9"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Regulatory Risk: </w:t>
      </w:r>
      <w:r w:rsidRPr="00D5205E">
        <w:rPr>
          <w:rFonts w:ascii="Calibri" w:hAnsi="Calibri" w:cs="Calibri"/>
        </w:rPr>
        <w:t>Any changes in SEBI's guidelines for mutual fund schemes participating in buying/selling CDS could impact the mutual fund's ability to effectively use CDS for hedging.</w:t>
      </w:r>
    </w:p>
    <w:p w14:paraId="4AEAF7EA"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Credit Risk of the CDS Seller: </w:t>
      </w:r>
      <w:r w:rsidRPr="00D5205E">
        <w:rPr>
          <w:rFonts w:ascii="Calibri" w:hAnsi="Calibri" w:cs="Calibri"/>
        </w:rPr>
        <w:t>The creditworthiness of the CDS seller is crucial; if the seller's credit rating deteriorates, the protection offered by the CDS might become less reliable.</w:t>
      </w:r>
    </w:p>
    <w:p w14:paraId="4AEAF7EB"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associated with Interest Rate Futures</w:t>
      </w:r>
    </w:p>
    <w:p w14:paraId="4AEAF7EC"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Basis Risk: </w:t>
      </w:r>
      <w:r w:rsidRPr="00D5205E">
        <w:rPr>
          <w:rFonts w:ascii="Calibri" w:hAnsi="Calibri" w:cs="Calibri"/>
        </w:rPr>
        <w:t>The risk arises when price movements in the derivative instrument used to hedge do not match the price movements of the underlying assets being hedged, potentially amplifying gains or losses.</w:t>
      </w:r>
    </w:p>
    <w:p w14:paraId="4AEAF7ED"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Price Risk: </w:t>
      </w:r>
      <w:r w:rsidRPr="00D5205E">
        <w:rPr>
          <w:rFonts w:ascii="Calibri" w:hAnsi="Calibri" w:cs="Calibri"/>
        </w:rPr>
        <w:t>The risk of mispricing or improper valuation and the inability of derivatives to correlate perfectly with underlying assets, rates and indices.</w:t>
      </w:r>
    </w:p>
    <w:p w14:paraId="4AEAF7EE"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Risk of mismatch between the instruments: </w:t>
      </w:r>
      <w:r w:rsidRPr="00D5205E">
        <w:rPr>
          <w:rFonts w:ascii="Calibri" w:hAnsi="Calibri" w:cs="Calibri"/>
        </w:rPr>
        <w:t>This arises if there is a mismatch between the price movements of the derivative instrument used to hedge, compared to the underlying assets being hedged.</w:t>
      </w:r>
    </w:p>
    <w:p w14:paraId="4AEAF7EF"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Correlation weakening / regulatory breach risk: </w:t>
      </w:r>
      <w:r w:rsidRPr="00D5205E">
        <w:rPr>
          <w:rFonts w:ascii="Calibri" w:hAnsi="Calibri" w:cs="Calibri"/>
        </w:rPr>
        <w:t>SEBI Regulation mandates a minimum correlation of 0.9 (calculated on a 90-day basis) between the hedged portfolio and the derivative instrument. Inability to restore correlation within the stipulated rebalancing period would require the entire derivative exposure to be included in gross exposure, potentially exceeding 100% of net asset value.</w:t>
      </w:r>
    </w:p>
    <w:p w14:paraId="4AEAF7F0"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Factors associated with schemes investing in Gilt Securities</w:t>
      </w:r>
    </w:p>
    <w:p w14:paraId="4AEAF7F1" w14:textId="77777777" w:rsidR="003F177D" w:rsidRPr="00D5205E" w:rsidRDefault="003014A5">
      <w:pPr>
        <w:spacing w:after="150"/>
        <w:rPr>
          <w:rFonts w:ascii="Calibri" w:hAnsi="Calibri" w:cs="Calibri"/>
        </w:rPr>
      </w:pPr>
      <w:r w:rsidRPr="00D5205E">
        <w:rPr>
          <w:rFonts w:ascii="Calibri" w:hAnsi="Calibri" w:cs="Calibri"/>
        </w:rPr>
        <w:t>Generally, when interest rates rise, prices of fixed income securities fall and when interest rates drop, prices increase. Price risk is not unique to government securities but applies to all fixed income securities; however, the default risk on Government securities is zero, so their prices are influenced only by interest rate movements. Even though the Government securities market is more liquid than other debt instruments, there could on occasion be difficulties transacting due to extreme volatility or unusual constriction in market volumes.</w:t>
      </w:r>
    </w:p>
    <w:p w14:paraId="4AEAF7F2"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Repo Transactions in Corporate Debt Securities</w:t>
      </w:r>
    </w:p>
    <w:p w14:paraId="4AEAF7F3" w14:textId="77777777" w:rsidR="003F177D" w:rsidRPr="00D5205E" w:rsidRDefault="003014A5">
      <w:pPr>
        <w:spacing w:after="150"/>
        <w:rPr>
          <w:rFonts w:ascii="Calibri" w:hAnsi="Calibri" w:cs="Calibri"/>
        </w:rPr>
      </w:pPr>
      <w:r w:rsidRPr="00D5205E">
        <w:rPr>
          <w:rFonts w:ascii="Calibri" w:hAnsi="Calibri" w:cs="Calibri"/>
        </w:rPr>
        <w:t xml:space="preserve">The scheme may be exposed to counterparty risk if the counterparty fails to honour its obligations under a repurchase agreement (repo). This risk is mitigated by the underlying collateral and over-collateralization; a loss is realized only if the sale price of the collateral is lower than the amount lent. There is also </w:t>
      </w:r>
      <w:proofErr w:type="gramStart"/>
      <w:r w:rsidRPr="00D5205E">
        <w:rPr>
          <w:rFonts w:ascii="Calibri" w:hAnsi="Calibri" w:cs="Calibri"/>
        </w:rPr>
        <w:t>a credit</w:t>
      </w:r>
      <w:proofErr w:type="gramEnd"/>
      <w:r w:rsidRPr="00D5205E">
        <w:rPr>
          <w:rFonts w:ascii="Calibri" w:hAnsi="Calibri" w:cs="Calibri"/>
        </w:rPr>
        <w:t xml:space="preserve"> risk </w:t>
      </w:r>
      <w:r w:rsidRPr="00D5205E">
        <w:rPr>
          <w:rFonts w:ascii="Calibri" w:hAnsi="Calibri" w:cs="Calibri"/>
        </w:rPr>
        <w:lastRenderedPageBreak/>
        <w:t>that the counterparty may fail to return the security or interest received on the due date, mitigated through an appropriate counterparty selection process including credit profile evaluation.</w:t>
      </w:r>
    </w:p>
    <w:p w14:paraId="4AEAF7F4"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Investing in Mutual Fund Schemes</w:t>
      </w:r>
    </w:p>
    <w:p w14:paraId="4AEAF7F5" w14:textId="77777777" w:rsidR="003F177D" w:rsidRPr="00D5205E" w:rsidRDefault="003014A5">
      <w:pPr>
        <w:spacing w:after="150"/>
        <w:rPr>
          <w:rFonts w:ascii="Calibri" w:hAnsi="Calibri" w:cs="Calibri"/>
        </w:rPr>
      </w:pPr>
      <w:r w:rsidRPr="00D5205E">
        <w:rPr>
          <w:rFonts w:ascii="Calibri" w:hAnsi="Calibri" w:cs="Calibri"/>
        </w:rPr>
        <w:t>Investing in mutual funds involves risks including the potential impact of fluctuations in the NAV of underlying funds, changes in their investment strategies, objectives or fundamental attributes, and exit loads on redemptions from such funds. The underlying funds may also carry their own market, credit or liquidity risks that may indirectly affect the Scheme's overall risk profile.</w:t>
      </w:r>
    </w:p>
    <w:p w14:paraId="4AEAF7F6"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Corporate Debt Market Development Fund (CDMDF)</w:t>
      </w:r>
    </w:p>
    <w:p w14:paraId="4AEAF7F7"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Default Risk: </w:t>
      </w:r>
      <w:r w:rsidRPr="00D5205E">
        <w:rPr>
          <w:rFonts w:ascii="Calibri" w:hAnsi="Calibri" w:cs="Calibri"/>
        </w:rPr>
        <w:t>CDMDF invests in corporate debt, exposing it to the risk of issuer defaults and credit downgrades; in periods of market dislocation, it may hold distressed or lower-rated debt, increasing the potential for credit losses.</w:t>
      </w:r>
    </w:p>
    <w:p w14:paraId="4AEAF7F8"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Liquidity Risk: </w:t>
      </w:r>
      <w:r w:rsidRPr="00D5205E">
        <w:rPr>
          <w:rFonts w:ascii="Calibri" w:hAnsi="Calibri" w:cs="Calibri"/>
        </w:rPr>
        <w:t>The fund's ability to provide liquidity support during market stress may be constrained.</w:t>
      </w:r>
    </w:p>
    <w:p w14:paraId="4AEAF7F9"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Borrowing and Leverage Risk: </w:t>
      </w:r>
      <w:r w:rsidRPr="00D5205E">
        <w:rPr>
          <w:rFonts w:ascii="Calibri" w:hAnsi="Calibri" w:cs="Calibri"/>
        </w:rPr>
        <w:t>CDMDF may borrow from financial institutions to finance its corporate debt purchases; this leverage amplifies potential risks if market conditions deteriorate further.</w:t>
      </w:r>
    </w:p>
    <w:p w14:paraId="4AEAF7FA"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Loss Absorption: </w:t>
      </w:r>
      <w:r w:rsidRPr="00D5205E">
        <w:rPr>
          <w:rFonts w:ascii="Calibri" w:hAnsi="Calibri" w:cs="Calibri"/>
        </w:rPr>
        <w:t>Mutual funds selling to CDMDF bear the risk of first loss, as per the prescribed loss absorption mechanism, which could result in losses for the MF schemes involved during severe market dislocations.</w:t>
      </w:r>
    </w:p>
    <w:p w14:paraId="4AEAF7FB"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segregated portfolio</w:t>
      </w:r>
    </w:p>
    <w:p w14:paraId="4AEAF7FC"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Limited Liquidity: </w:t>
      </w:r>
      <w:r w:rsidRPr="00D5205E">
        <w:rPr>
          <w:rFonts w:ascii="Calibri" w:hAnsi="Calibri" w:cs="Calibri"/>
        </w:rPr>
        <w:t>Units in a segregated portfolio may have limited liquidity, as they are typically not available for subscription or redemption; investors may face difficulty exiting their investments until underlying assets are recovered or resolved.</w:t>
      </w:r>
    </w:p>
    <w:p w14:paraId="4AEAF7FD"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Valuation Uncertainty: </w:t>
      </w:r>
      <w:r w:rsidRPr="00D5205E">
        <w:rPr>
          <w:rFonts w:ascii="Calibri" w:hAnsi="Calibri" w:cs="Calibri"/>
        </w:rPr>
        <w:t>The valuation of assets in a segregated portfolio may fluctuate due to their illiquid or distressed nature, and there is no assurance the portfolio will recover its full value over time.</w:t>
      </w:r>
    </w:p>
    <w:p w14:paraId="4AEAF7FE"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Recovery Risk: </w:t>
      </w:r>
      <w:r w:rsidRPr="00D5205E">
        <w:rPr>
          <w:rFonts w:ascii="Calibri" w:hAnsi="Calibri" w:cs="Calibri"/>
        </w:rPr>
        <w:t xml:space="preserve">There is no guarantee that segregated assets will recover their value or that recovery will occur within a specified timeframe; in some </w:t>
      </w:r>
      <w:proofErr w:type="gramStart"/>
      <w:r w:rsidRPr="00D5205E">
        <w:rPr>
          <w:rFonts w:ascii="Calibri" w:hAnsi="Calibri" w:cs="Calibri"/>
        </w:rPr>
        <w:t>cases</w:t>
      </w:r>
      <w:proofErr w:type="gramEnd"/>
      <w:r w:rsidRPr="00D5205E">
        <w:rPr>
          <w:rFonts w:ascii="Calibri" w:hAnsi="Calibri" w:cs="Calibri"/>
        </w:rPr>
        <w:t xml:space="preserve"> there may be no recovery at all.</w:t>
      </w:r>
    </w:p>
    <w:p w14:paraId="4AEAF7FF"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Credit and Default Risk: </w:t>
      </w:r>
      <w:r w:rsidRPr="00D5205E">
        <w:rPr>
          <w:rFonts w:ascii="Calibri" w:hAnsi="Calibri" w:cs="Calibri"/>
        </w:rPr>
        <w:t>Segregated portfolios are typically created in response to credit events or issuer defaults, so assets may continue to carry a high degree of credit risk, including further downgrades or defaults.</w:t>
      </w:r>
    </w:p>
    <w:p w14:paraId="4AEAF800"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Market and Legal Risks: </w:t>
      </w:r>
      <w:r w:rsidRPr="00D5205E">
        <w:rPr>
          <w:rFonts w:ascii="Calibri" w:hAnsi="Calibri" w:cs="Calibri"/>
        </w:rPr>
        <w:t>Resolution of segregated portfolio assets may be influenced by legal, regulatory or market conditions, which may delay or reduce recovery of value.</w:t>
      </w:r>
    </w:p>
    <w:p w14:paraId="4AEAF801"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Risks associated with Investing in Structured Obligation (SO) &amp; Credit Enhancement (CE) rated securities</w:t>
      </w:r>
    </w:p>
    <w:p w14:paraId="4AEAF802" w14:textId="77777777" w:rsidR="003F177D" w:rsidRPr="00D5205E" w:rsidRDefault="003014A5">
      <w:pPr>
        <w:spacing w:after="150"/>
        <w:rPr>
          <w:rFonts w:ascii="Calibri" w:hAnsi="Calibri" w:cs="Calibri"/>
        </w:rPr>
      </w:pPr>
      <w:r w:rsidRPr="00D5205E">
        <w:rPr>
          <w:rFonts w:ascii="Calibri" w:hAnsi="Calibri" w:cs="Calibri"/>
        </w:rPr>
        <w:t xml:space="preserve">Credit rating agencies assign CE ratings based on identifiable credit enhancements (guarantee, shortfall undertaking, letter of comfort, pledge of listed shares, etc.), requiring evaluation of both the enhancement provider and the issuer. </w:t>
      </w:r>
      <w:proofErr w:type="gramStart"/>
      <w:r w:rsidRPr="00D5205E">
        <w:rPr>
          <w:rFonts w:ascii="Calibri" w:hAnsi="Calibri" w:cs="Calibri"/>
        </w:rPr>
        <w:t>SO</w:t>
      </w:r>
      <w:proofErr w:type="gramEnd"/>
      <w:r w:rsidRPr="00D5205E">
        <w:rPr>
          <w:rFonts w:ascii="Calibri" w:hAnsi="Calibri" w:cs="Calibri"/>
        </w:rPr>
        <w:t xml:space="preserve"> transactions are asset/mortgage-backed securities or securitized paper backed by receivables, requiring assessment of the underlying loan pools.</w:t>
      </w:r>
    </w:p>
    <w:p w14:paraId="4AEAF803"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Liquidity Risk: </w:t>
      </w:r>
      <w:r w:rsidRPr="00D5205E">
        <w:rPr>
          <w:rFonts w:ascii="Calibri" w:hAnsi="Calibri" w:cs="Calibri"/>
        </w:rPr>
        <w:t>SO/CE rated securities are often complex structures with a variety of credit enhancements; debt securities lack a well-developed secondary market in India, and the credit-enhanced/structured nature of these instruments results in lower liquidity compared to similar rated debt instruments.</w:t>
      </w:r>
    </w:p>
    <w:p w14:paraId="4AEAF804"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b/>
          <w:bCs/>
        </w:rPr>
        <w:t xml:space="preserve">Credit Risk: </w:t>
      </w:r>
      <w:r w:rsidRPr="00D5205E">
        <w:rPr>
          <w:rFonts w:ascii="Calibri" w:hAnsi="Calibri" w:cs="Calibri"/>
        </w:rPr>
        <w:t>The credit risk of CE rated debt instruments derives from the combined strength of the issuer and the structure; any weakness in either could have an adverse credit impact. In SO transactions, co-mingling risk and servicer risk increase the overall risk of the securitized transaction.</w:t>
      </w:r>
    </w:p>
    <w:p w14:paraId="4AEAF805"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t>Risk Associated while transacting through Email (Applicable for Non-Individual Investors)</w:t>
      </w:r>
    </w:p>
    <w:p w14:paraId="4AEAF806" w14:textId="77777777" w:rsidR="003F177D" w:rsidRPr="00D5205E" w:rsidRDefault="003014A5">
      <w:pPr>
        <w:spacing w:after="150"/>
        <w:rPr>
          <w:rFonts w:ascii="Calibri" w:hAnsi="Calibri" w:cs="Calibri"/>
        </w:rPr>
      </w:pPr>
      <w:r w:rsidRPr="00D5205E">
        <w:rPr>
          <w:rFonts w:ascii="Calibri" w:hAnsi="Calibri" w:cs="Calibri"/>
        </w:rPr>
        <w:t>Email-based instructions are inherently vulnerable to interception, unauthorised access, phishing, spoofing, failed delivery and unintended transmission. Investors should ensure appropriate safeguards are in place when using this mode of transaction. The AMC does not accept responsibility for loss, damage or inconvenience arising from errors, delays, non-receipt or unauthorised access associated with transacting through email.</w:t>
      </w:r>
    </w:p>
    <w:p w14:paraId="4AEAF807" w14:textId="77777777" w:rsidR="003F177D" w:rsidRPr="00D5205E" w:rsidRDefault="003014A5">
      <w:pPr>
        <w:pStyle w:val="Heading3"/>
        <w:spacing w:before="200" w:after="100"/>
        <w:rPr>
          <w:rFonts w:ascii="Calibri" w:hAnsi="Calibri" w:cs="Calibri"/>
          <w:sz w:val="20"/>
          <w:szCs w:val="20"/>
        </w:rPr>
      </w:pPr>
      <w:r w:rsidRPr="00D5205E">
        <w:rPr>
          <w:rFonts w:ascii="Calibri" w:hAnsi="Calibri" w:cs="Calibri"/>
          <w:sz w:val="20"/>
          <w:szCs w:val="20"/>
        </w:rPr>
        <w:lastRenderedPageBreak/>
        <w:t>Other Scheme Specific Risk Factors</w:t>
      </w:r>
    </w:p>
    <w:p w14:paraId="4AEAF808"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As the liquidity of the investments made by the Scheme could, at times, be restricted by trading volumes and settlement periods, the time taken for redemption of Units may be significant in the event of an inordinately large number of redemption requests or restructuring of the Scheme; limits on redemptions (including suspending redemptions) may be invoked under certain circumstances.</w:t>
      </w:r>
    </w:p>
    <w:p w14:paraId="4AEAF809"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Although the objective of the Fund is to generate optimal returns, the objective may or may not be achieved.</w:t>
      </w:r>
    </w:p>
    <w:p w14:paraId="4AEAF80A"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The AMC may, considering the overall level of risk of the portfolio, invest in lower rated / unrated securities offering higher yields as well as zero coupon securities that offer attractive yields, which may increase the absolute level of risk of the portfolio.</w:t>
      </w:r>
    </w:p>
    <w:p w14:paraId="4AEAF80B"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Securities which are not quoted on stock exchanges are inherently illiquid and carry a larger amount of liquidity risk compared to listed securities or those offering other exit options; the AMC may choose to invest in such unlisted securities that offer attractive yields, increasing portfolio risk.</w:t>
      </w:r>
    </w:p>
    <w:p w14:paraId="4AEAF80C" w14:textId="77777777"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Investment decisions made by the AMC may not always be profitable.</w:t>
      </w:r>
    </w:p>
    <w:p w14:paraId="4AEAF80D" w14:textId="2CC11202" w:rsidR="003F177D" w:rsidRPr="00D5205E" w:rsidRDefault="003014A5">
      <w:pPr>
        <w:pStyle w:val="ListParagraph"/>
        <w:numPr>
          <w:ilvl w:val="0"/>
          <w:numId w:val="2"/>
        </w:numPr>
        <w:spacing w:after="100"/>
        <w:rPr>
          <w:rFonts w:ascii="Calibri" w:hAnsi="Calibri" w:cs="Calibri"/>
        </w:rPr>
      </w:pPr>
      <w:r w:rsidRPr="00D5205E">
        <w:rPr>
          <w:rFonts w:ascii="Calibri" w:hAnsi="Calibri" w:cs="Calibri"/>
        </w:rPr>
        <w:t>Tax benefits available under the scheme are subject to prevailing taxation laws, which may change; each investor is advised to consult his/her own professional tax advisor</w:t>
      </w:r>
    </w:p>
    <w:sectPr w:rsidR="003F177D" w:rsidRPr="00D5205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511"/>
    <w:multiLevelType w:val="hybridMultilevel"/>
    <w:tmpl w:val="1D2A3D66"/>
    <w:lvl w:ilvl="0" w:tplc="C2804F34">
      <w:start w:val="1"/>
      <w:numFmt w:val="bullet"/>
      <w:lvlText w:val="•"/>
      <w:lvlJc w:val="left"/>
      <w:pPr>
        <w:ind w:left="450" w:hanging="260"/>
      </w:pPr>
    </w:lvl>
    <w:lvl w:ilvl="1" w:tplc="DC28723E">
      <w:start w:val="1"/>
      <w:numFmt w:val="bullet"/>
      <w:lvlText w:val="◦"/>
      <w:lvlJc w:val="left"/>
      <w:pPr>
        <w:ind w:left="900" w:hanging="260"/>
      </w:pPr>
    </w:lvl>
    <w:lvl w:ilvl="2" w:tplc="1F2E88A8">
      <w:numFmt w:val="decimal"/>
      <w:lvlText w:val=""/>
      <w:lvlJc w:val="left"/>
    </w:lvl>
    <w:lvl w:ilvl="3" w:tplc="0E88C960">
      <w:numFmt w:val="decimal"/>
      <w:lvlText w:val=""/>
      <w:lvlJc w:val="left"/>
    </w:lvl>
    <w:lvl w:ilvl="4" w:tplc="16C02B62">
      <w:numFmt w:val="decimal"/>
      <w:lvlText w:val=""/>
      <w:lvlJc w:val="left"/>
    </w:lvl>
    <w:lvl w:ilvl="5" w:tplc="C4E8A02A">
      <w:numFmt w:val="decimal"/>
      <w:lvlText w:val=""/>
      <w:lvlJc w:val="left"/>
    </w:lvl>
    <w:lvl w:ilvl="6" w:tplc="F3BABBBA">
      <w:numFmt w:val="decimal"/>
      <w:lvlText w:val=""/>
      <w:lvlJc w:val="left"/>
    </w:lvl>
    <w:lvl w:ilvl="7" w:tplc="68DAE6A6">
      <w:numFmt w:val="decimal"/>
      <w:lvlText w:val=""/>
      <w:lvlJc w:val="left"/>
    </w:lvl>
    <w:lvl w:ilvl="8" w:tplc="07BC0184">
      <w:numFmt w:val="decimal"/>
      <w:lvlText w:val=""/>
      <w:lvlJc w:val="left"/>
    </w:lvl>
  </w:abstractNum>
  <w:abstractNum w:abstractNumId="1" w15:restartNumberingAfterBreak="0">
    <w:nsid w:val="332D7314"/>
    <w:multiLevelType w:val="hybridMultilevel"/>
    <w:tmpl w:val="33A22CBA"/>
    <w:lvl w:ilvl="0" w:tplc="5162AF86">
      <w:start w:val="1"/>
      <w:numFmt w:val="bullet"/>
      <w:lvlText w:val="●"/>
      <w:lvlJc w:val="left"/>
      <w:pPr>
        <w:ind w:left="720" w:hanging="360"/>
      </w:pPr>
    </w:lvl>
    <w:lvl w:ilvl="1" w:tplc="5CF8152E">
      <w:start w:val="1"/>
      <w:numFmt w:val="bullet"/>
      <w:lvlText w:val="○"/>
      <w:lvlJc w:val="left"/>
      <w:pPr>
        <w:ind w:left="1440" w:hanging="360"/>
      </w:pPr>
    </w:lvl>
    <w:lvl w:ilvl="2" w:tplc="C6B8332A">
      <w:start w:val="1"/>
      <w:numFmt w:val="bullet"/>
      <w:lvlText w:val="■"/>
      <w:lvlJc w:val="left"/>
      <w:pPr>
        <w:ind w:left="2160" w:hanging="360"/>
      </w:pPr>
    </w:lvl>
    <w:lvl w:ilvl="3" w:tplc="2B30405E">
      <w:start w:val="1"/>
      <w:numFmt w:val="bullet"/>
      <w:lvlText w:val="●"/>
      <w:lvlJc w:val="left"/>
      <w:pPr>
        <w:ind w:left="2880" w:hanging="360"/>
      </w:pPr>
    </w:lvl>
    <w:lvl w:ilvl="4" w:tplc="C1EE7760">
      <w:start w:val="1"/>
      <w:numFmt w:val="bullet"/>
      <w:lvlText w:val="○"/>
      <w:lvlJc w:val="left"/>
      <w:pPr>
        <w:ind w:left="3600" w:hanging="360"/>
      </w:pPr>
    </w:lvl>
    <w:lvl w:ilvl="5" w:tplc="2ECA5F96">
      <w:start w:val="1"/>
      <w:numFmt w:val="bullet"/>
      <w:lvlText w:val="■"/>
      <w:lvlJc w:val="left"/>
      <w:pPr>
        <w:ind w:left="4320" w:hanging="360"/>
      </w:pPr>
    </w:lvl>
    <w:lvl w:ilvl="6" w:tplc="7EDC5962">
      <w:start w:val="1"/>
      <w:numFmt w:val="bullet"/>
      <w:lvlText w:val="●"/>
      <w:lvlJc w:val="left"/>
      <w:pPr>
        <w:ind w:left="5040" w:hanging="360"/>
      </w:pPr>
    </w:lvl>
    <w:lvl w:ilvl="7" w:tplc="98346E68">
      <w:start w:val="1"/>
      <w:numFmt w:val="bullet"/>
      <w:lvlText w:val="●"/>
      <w:lvlJc w:val="left"/>
      <w:pPr>
        <w:ind w:left="5760" w:hanging="360"/>
      </w:pPr>
    </w:lvl>
    <w:lvl w:ilvl="8" w:tplc="EDF09260">
      <w:start w:val="1"/>
      <w:numFmt w:val="bullet"/>
      <w:lvlText w:val="●"/>
      <w:lvlJc w:val="left"/>
      <w:pPr>
        <w:ind w:left="6480" w:hanging="360"/>
      </w:pPr>
    </w:lvl>
  </w:abstractNum>
  <w:abstractNum w:abstractNumId="2" w15:restartNumberingAfterBreak="0">
    <w:nsid w:val="59805CF8"/>
    <w:multiLevelType w:val="hybridMultilevel"/>
    <w:tmpl w:val="D278D4B0"/>
    <w:lvl w:ilvl="0" w:tplc="06E869AE">
      <w:start w:val="1"/>
      <w:numFmt w:val="decimal"/>
      <w:lvlText w:val="%1."/>
      <w:lvlJc w:val="left"/>
      <w:pPr>
        <w:ind w:left="450" w:hanging="260"/>
      </w:pPr>
    </w:lvl>
    <w:lvl w:ilvl="1" w:tplc="96861C5A">
      <w:start w:val="1"/>
      <w:numFmt w:val="lowerLetter"/>
      <w:lvlText w:val="%2."/>
      <w:lvlJc w:val="left"/>
      <w:pPr>
        <w:ind w:left="900" w:hanging="260"/>
      </w:pPr>
    </w:lvl>
    <w:lvl w:ilvl="2" w:tplc="249AB02C">
      <w:numFmt w:val="decimal"/>
      <w:lvlText w:val=""/>
      <w:lvlJc w:val="left"/>
    </w:lvl>
    <w:lvl w:ilvl="3" w:tplc="3A88EE98">
      <w:numFmt w:val="decimal"/>
      <w:lvlText w:val=""/>
      <w:lvlJc w:val="left"/>
    </w:lvl>
    <w:lvl w:ilvl="4" w:tplc="C4324D4A">
      <w:numFmt w:val="decimal"/>
      <w:lvlText w:val=""/>
      <w:lvlJc w:val="left"/>
    </w:lvl>
    <w:lvl w:ilvl="5" w:tplc="8FCE5CD8">
      <w:numFmt w:val="decimal"/>
      <w:lvlText w:val=""/>
      <w:lvlJc w:val="left"/>
    </w:lvl>
    <w:lvl w:ilvl="6" w:tplc="1F1CD622">
      <w:numFmt w:val="decimal"/>
      <w:lvlText w:val=""/>
      <w:lvlJc w:val="left"/>
    </w:lvl>
    <w:lvl w:ilvl="7" w:tplc="6174F330">
      <w:numFmt w:val="decimal"/>
      <w:lvlText w:val=""/>
      <w:lvlJc w:val="left"/>
    </w:lvl>
    <w:lvl w:ilvl="8" w:tplc="0D560B22">
      <w:numFmt w:val="decimal"/>
      <w:lvlText w:val=""/>
      <w:lvlJc w:val="left"/>
    </w:lvl>
  </w:abstractNum>
  <w:num w:numId="1" w16cid:durableId="1359046901">
    <w:abstractNumId w:val="1"/>
    <w:lvlOverride w:ilvl="0">
      <w:startOverride w:val="1"/>
    </w:lvlOverride>
  </w:num>
  <w:num w:numId="2" w16cid:durableId="1806655320">
    <w:abstractNumId w:val="0"/>
    <w:lvlOverride w:ilvl="0">
      <w:startOverride w:val="1"/>
    </w:lvlOverride>
  </w:num>
  <w:num w:numId="3" w16cid:durableId="84806555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77D"/>
    <w:rsid w:val="003014A5"/>
    <w:rsid w:val="00320049"/>
    <w:rsid w:val="003F177D"/>
    <w:rsid w:val="00513C2A"/>
    <w:rsid w:val="00AC0A00"/>
    <w:rsid w:val="00CC6555"/>
    <w:rsid w:val="00D5205E"/>
    <w:rsid w:val="00DA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F7B3"/>
  <w15:docId w15:val="{60888236-B858-4D8C-9BE3-7A3BD035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2571</Words>
  <Characters>14657</Characters>
  <Application>Microsoft Office Word</Application>
  <DocSecurity>0</DocSecurity>
  <Lines>122</Lines>
  <Paragraphs>34</Paragraphs>
  <ScaleCrop>false</ScaleCrop>
  <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2026-08-24T06:27:00Z</dcterms:created>
  <dcterms:modified xsi:type="dcterms:W3CDTF">2026-08-24T08:42:00Z</dcterms:modified>
</cp:coreProperties>
</file>