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510E1" w14:textId="77777777" w:rsidR="007F5DD5" w:rsidRDefault="00000000">
      <w:pPr>
        <w:spacing w:after="60"/>
        <w:jc w:val="center"/>
      </w:pPr>
      <w:r>
        <w:rPr>
          <w:b/>
          <w:bCs/>
          <w:color w:val="1F3864"/>
          <w:sz w:val="32"/>
          <w:szCs w:val="32"/>
        </w:rPr>
        <w:t>Shriram Gold ETF Passive FOF</w:t>
      </w:r>
    </w:p>
    <w:p w14:paraId="55159042" w14:textId="77777777" w:rsidR="007F5DD5" w:rsidRDefault="00000000">
      <w:pPr>
        <w:spacing w:after="240"/>
        <w:jc w:val="center"/>
      </w:pPr>
      <w:r>
        <w:rPr>
          <w:color w:val="444444"/>
          <w:sz w:val="24"/>
          <w:szCs w:val="24"/>
        </w:rPr>
        <w:t>Key Risk Factors – For Factsheet</w:t>
      </w:r>
    </w:p>
    <w:p w14:paraId="374C0C05" w14:textId="77777777" w:rsidR="007F5DD5" w:rsidRDefault="00000000">
      <w:pPr>
        <w:pStyle w:val="ListParagraph"/>
        <w:numPr>
          <w:ilvl w:val="0"/>
          <w:numId w:val="2"/>
        </w:numPr>
        <w:spacing w:after="140"/>
      </w:pPr>
      <w:r>
        <w:rPr>
          <w:b/>
          <w:bCs/>
        </w:rPr>
        <w:t xml:space="preserve">Gold Price Risk: </w:t>
      </w:r>
      <w:r>
        <w:t>The NAV of the Scheme will move with the domestic price of gold. The performance of gold depends on factors including interest rates, inflation, taxes and duties, global trade, supply and demand, industrial demand and demand from central banks as a currency hedge.</w:t>
      </w:r>
    </w:p>
    <w:p w14:paraId="7B75DFB3" w14:textId="77777777" w:rsidR="007F5DD5" w:rsidRDefault="00000000">
      <w:pPr>
        <w:pStyle w:val="ListParagraph"/>
        <w:numPr>
          <w:ilvl w:val="0"/>
          <w:numId w:val="2"/>
        </w:numPr>
        <w:spacing w:after="140"/>
      </w:pPr>
      <w:r>
        <w:rPr>
          <w:b/>
          <w:bCs/>
        </w:rPr>
        <w:t xml:space="preserve">Dual Expense Risk: </w:t>
      </w:r>
      <w:r>
        <w:t>Investors bear the recurring expenses of the Scheme in addition to the expenses of the underlying Gold ETFs. Returns may therefore be materially impacted and may at times be lower than those obtained by investing directly in the underlying schemes.</w:t>
      </w:r>
    </w:p>
    <w:p w14:paraId="7413C598" w14:textId="77777777" w:rsidR="007F5DD5" w:rsidRDefault="00000000">
      <w:pPr>
        <w:pStyle w:val="ListParagraph"/>
        <w:numPr>
          <w:ilvl w:val="0"/>
          <w:numId w:val="2"/>
        </w:numPr>
        <w:spacing w:after="140"/>
      </w:pPr>
      <w:r>
        <w:rPr>
          <w:b/>
          <w:bCs/>
        </w:rPr>
        <w:t xml:space="preserve">Non-uniform Expense Risk: </w:t>
      </w:r>
      <w:r>
        <w:t>As expenses charged depend on the structure of the underlying schemes, the Scheme may have non-uniform charging of expenses over a period of time.</w:t>
      </w:r>
    </w:p>
    <w:p w14:paraId="359043E4" w14:textId="77777777" w:rsidR="007F5DD5" w:rsidRDefault="00000000">
      <w:pPr>
        <w:pStyle w:val="ListParagraph"/>
        <w:numPr>
          <w:ilvl w:val="0"/>
          <w:numId w:val="2"/>
        </w:numPr>
        <w:spacing w:after="140"/>
      </w:pPr>
      <w:r>
        <w:rPr>
          <w:b/>
          <w:bCs/>
        </w:rPr>
        <w:t xml:space="preserve">Underlying Scheme Risk: </w:t>
      </w:r>
      <w:r>
        <w:t>The scheme specific risk factors of the underlying Gold ETFs become applicable to the Scheme. The Scheme's returns may differ from those of the underlying schemes due to total expense ratio, cash drag, timing and pricing differences between subscription/redemption in the Scheme and the underlying schemes, and operational and transactional reasons.</w:t>
      </w:r>
    </w:p>
    <w:p w14:paraId="7A895C6A" w14:textId="77777777" w:rsidR="007F5DD5" w:rsidRDefault="00000000">
      <w:pPr>
        <w:pStyle w:val="ListParagraph"/>
        <w:numPr>
          <w:ilvl w:val="0"/>
          <w:numId w:val="2"/>
        </w:numPr>
        <w:spacing w:after="140"/>
      </w:pPr>
      <w:r>
        <w:rPr>
          <w:b/>
          <w:bCs/>
        </w:rPr>
        <w:t xml:space="preserve">Market Price vs NAV Risk: </w:t>
      </w:r>
      <w:r>
        <w:t>The Scheme may invest in the underlying ETFs through the stock exchange, where the market price of the ETF units may differ from their Indicative NAV (iNAV)/NAV. This may affect the performance of the Scheme.</w:t>
      </w:r>
    </w:p>
    <w:p w14:paraId="02AB3F81" w14:textId="77777777" w:rsidR="007F5DD5" w:rsidRDefault="00000000">
      <w:pPr>
        <w:pStyle w:val="ListParagraph"/>
        <w:numPr>
          <w:ilvl w:val="0"/>
          <w:numId w:val="2"/>
        </w:numPr>
        <w:spacing w:after="140"/>
      </w:pPr>
      <w:r>
        <w:rPr>
          <w:b/>
          <w:bCs/>
        </w:rPr>
        <w:t xml:space="preserve">Liquidity Risk: </w:t>
      </w:r>
      <w:r>
        <w:t>Subscriptions and redemptions in the Scheme depend on the liquidity of the underlying schemes. Illiquidity of the underlying schemes may affect the performance of the Scheme.</w:t>
      </w:r>
    </w:p>
    <w:p w14:paraId="7EAFE80A" w14:textId="77777777" w:rsidR="007F5DD5" w:rsidRDefault="00000000">
      <w:pPr>
        <w:pStyle w:val="ListParagraph"/>
        <w:numPr>
          <w:ilvl w:val="0"/>
          <w:numId w:val="2"/>
        </w:numPr>
        <w:spacing w:after="140"/>
      </w:pPr>
      <w:r>
        <w:rPr>
          <w:b/>
          <w:bCs/>
        </w:rPr>
        <w:t xml:space="preserve">Tracking Error Risk: </w:t>
      </w:r>
      <w:r>
        <w:t>The Scheme's returns may deviate from the benchmark (Domestic Price of Physical Gold) due to expenses, cash held to meet redemptions, temporary trading halts due to circuit filters and regulatory restrictions. There is no assurance that the Scheme will achieve any particular level of tracking error.</w:t>
      </w:r>
    </w:p>
    <w:p w14:paraId="3D65BFF8" w14:textId="77777777" w:rsidR="007F5DD5" w:rsidRDefault="00000000">
      <w:pPr>
        <w:pStyle w:val="ListParagraph"/>
        <w:numPr>
          <w:ilvl w:val="0"/>
          <w:numId w:val="2"/>
        </w:numPr>
        <w:spacing w:after="140"/>
      </w:pPr>
      <w:r>
        <w:rPr>
          <w:b/>
          <w:bCs/>
        </w:rPr>
        <w:t xml:space="preserve">Limited Portfolio Disclosure: </w:t>
      </w:r>
      <w:r>
        <w:t>Portfolio disclosures of the Scheme will be limited to particulars of the underlying schemes invested in; investors may not obtain specific details of the investments of the underlying schemes.</w:t>
      </w:r>
    </w:p>
    <w:p w14:paraId="645CCA98" w14:textId="77777777" w:rsidR="007F5DD5" w:rsidRDefault="00000000">
      <w:pPr>
        <w:pStyle w:val="ListParagraph"/>
        <w:numPr>
          <w:ilvl w:val="0"/>
          <w:numId w:val="2"/>
        </w:numPr>
        <w:spacing w:after="140"/>
      </w:pPr>
      <w:r>
        <w:rPr>
          <w:b/>
          <w:bCs/>
        </w:rPr>
        <w:t xml:space="preserve">Debt and Money Market Risk: </w:t>
      </w:r>
      <w:r>
        <w:t>To the extent invested in debt and money market instruments (up to 5%), the Scheme is exposed to interest rate, credit, liquidity and reinvestment risks.</w:t>
      </w:r>
    </w:p>
    <w:p w14:paraId="487DDE9B" w14:textId="12F11E69" w:rsidR="007F5DD5" w:rsidRDefault="007F5DD5">
      <w:pPr>
        <w:spacing w:before="120"/>
      </w:pPr>
    </w:p>
    <w:sectPr w:rsidR="007F5DD5">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FE3DD8"/>
    <w:multiLevelType w:val="hybridMultilevel"/>
    <w:tmpl w:val="78A24CB4"/>
    <w:lvl w:ilvl="0" w:tplc="2C340F00">
      <w:start w:val="1"/>
      <w:numFmt w:val="bullet"/>
      <w:lvlText w:val="●"/>
      <w:lvlJc w:val="left"/>
      <w:pPr>
        <w:ind w:left="720" w:hanging="360"/>
      </w:pPr>
    </w:lvl>
    <w:lvl w:ilvl="1" w:tplc="BB42587E">
      <w:start w:val="1"/>
      <w:numFmt w:val="bullet"/>
      <w:lvlText w:val="○"/>
      <w:lvlJc w:val="left"/>
      <w:pPr>
        <w:ind w:left="1440" w:hanging="360"/>
      </w:pPr>
    </w:lvl>
    <w:lvl w:ilvl="2" w:tplc="35545C78">
      <w:start w:val="1"/>
      <w:numFmt w:val="bullet"/>
      <w:lvlText w:val="■"/>
      <w:lvlJc w:val="left"/>
      <w:pPr>
        <w:ind w:left="2160" w:hanging="360"/>
      </w:pPr>
    </w:lvl>
    <w:lvl w:ilvl="3" w:tplc="EDAA1CB8">
      <w:start w:val="1"/>
      <w:numFmt w:val="bullet"/>
      <w:lvlText w:val="●"/>
      <w:lvlJc w:val="left"/>
      <w:pPr>
        <w:ind w:left="2880" w:hanging="360"/>
      </w:pPr>
    </w:lvl>
    <w:lvl w:ilvl="4" w:tplc="3356E388">
      <w:start w:val="1"/>
      <w:numFmt w:val="bullet"/>
      <w:lvlText w:val="○"/>
      <w:lvlJc w:val="left"/>
      <w:pPr>
        <w:ind w:left="3600" w:hanging="360"/>
      </w:pPr>
    </w:lvl>
    <w:lvl w:ilvl="5" w:tplc="72722336">
      <w:start w:val="1"/>
      <w:numFmt w:val="bullet"/>
      <w:lvlText w:val="■"/>
      <w:lvlJc w:val="left"/>
      <w:pPr>
        <w:ind w:left="4320" w:hanging="360"/>
      </w:pPr>
    </w:lvl>
    <w:lvl w:ilvl="6" w:tplc="4EA0AC96">
      <w:start w:val="1"/>
      <w:numFmt w:val="bullet"/>
      <w:lvlText w:val="●"/>
      <w:lvlJc w:val="left"/>
      <w:pPr>
        <w:ind w:left="5040" w:hanging="360"/>
      </w:pPr>
    </w:lvl>
    <w:lvl w:ilvl="7" w:tplc="630066C8">
      <w:start w:val="1"/>
      <w:numFmt w:val="bullet"/>
      <w:lvlText w:val="●"/>
      <w:lvlJc w:val="left"/>
      <w:pPr>
        <w:ind w:left="5760" w:hanging="360"/>
      </w:pPr>
    </w:lvl>
    <w:lvl w:ilvl="8" w:tplc="91D2C8C6">
      <w:start w:val="1"/>
      <w:numFmt w:val="bullet"/>
      <w:lvlText w:val="●"/>
      <w:lvlJc w:val="left"/>
      <w:pPr>
        <w:ind w:left="6480" w:hanging="360"/>
      </w:pPr>
    </w:lvl>
  </w:abstractNum>
  <w:abstractNum w:abstractNumId="1" w15:restartNumberingAfterBreak="0">
    <w:nsid w:val="6C490825"/>
    <w:multiLevelType w:val="hybridMultilevel"/>
    <w:tmpl w:val="3B4E7BFC"/>
    <w:lvl w:ilvl="0" w:tplc="DB1C6D8C">
      <w:start w:val="1"/>
      <w:numFmt w:val="decimal"/>
      <w:lvlText w:val="%1."/>
      <w:lvlJc w:val="left"/>
      <w:pPr>
        <w:ind w:left="450" w:hanging="360"/>
      </w:pPr>
    </w:lvl>
    <w:lvl w:ilvl="1" w:tplc="168EC264">
      <w:numFmt w:val="decimal"/>
      <w:lvlText w:val=""/>
      <w:lvlJc w:val="left"/>
    </w:lvl>
    <w:lvl w:ilvl="2" w:tplc="1516531C">
      <w:numFmt w:val="decimal"/>
      <w:lvlText w:val=""/>
      <w:lvlJc w:val="left"/>
    </w:lvl>
    <w:lvl w:ilvl="3" w:tplc="D06EB956">
      <w:numFmt w:val="decimal"/>
      <w:lvlText w:val=""/>
      <w:lvlJc w:val="left"/>
    </w:lvl>
    <w:lvl w:ilvl="4" w:tplc="CB4A64B6">
      <w:numFmt w:val="decimal"/>
      <w:lvlText w:val=""/>
      <w:lvlJc w:val="left"/>
    </w:lvl>
    <w:lvl w:ilvl="5" w:tplc="1EC25C02">
      <w:numFmt w:val="decimal"/>
      <w:lvlText w:val=""/>
      <w:lvlJc w:val="left"/>
    </w:lvl>
    <w:lvl w:ilvl="6" w:tplc="47D058A4">
      <w:numFmt w:val="decimal"/>
      <w:lvlText w:val=""/>
      <w:lvlJc w:val="left"/>
    </w:lvl>
    <w:lvl w:ilvl="7" w:tplc="2466EA90">
      <w:numFmt w:val="decimal"/>
      <w:lvlText w:val=""/>
      <w:lvlJc w:val="left"/>
    </w:lvl>
    <w:lvl w:ilvl="8" w:tplc="3D2AE51C">
      <w:numFmt w:val="decimal"/>
      <w:lvlText w:val=""/>
      <w:lvlJc w:val="left"/>
    </w:lvl>
  </w:abstractNum>
  <w:num w:numId="1" w16cid:durableId="1718964295">
    <w:abstractNumId w:val="0"/>
    <w:lvlOverride w:ilvl="0">
      <w:startOverride w:val="1"/>
    </w:lvlOverride>
  </w:num>
  <w:num w:numId="2" w16cid:durableId="137649587">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DD5"/>
    <w:rsid w:val="000A64F6"/>
    <w:rsid w:val="00273729"/>
    <w:rsid w:val="003808F7"/>
    <w:rsid w:val="007F5DD5"/>
    <w:rsid w:val="008F1989"/>
    <w:rsid w:val="00EE7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2E2F4"/>
  <w15:docId w15:val="{6D0ACA03-D2D6-4D4E-9427-7031F588F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345</Words>
  <Characters>1969</Characters>
  <Application>Microsoft Office Word</Application>
  <DocSecurity>0</DocSecurity>
  <Lines>16</Lines>
  <Paragraphs>4</Paragraphs>
  <ScaleCrop>false</ScaleCrop>
  <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Rishabh Kabra</cp:lastModifiedBy>
  <cp:revision>4</cp:revision>
  <dcterms:created xsi:type="dcterms:W3CDTF">2026-09-24T06:33:00Z</dcterms:created>
  <dcterms:modified xsi:type="dcterms:W3CDTF">2026-09-24T06:37:00Z</dcterms:modified>
</cp:coreProperties>
</file>