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3C81C" w14:textId="77777777" w:rsidR="00BE3932" w:rsidRPr="00752D6B" w:rsidRDefault="004A3504" w:rsidP="00752D6B">
      <w:pPr>
        <w:spacing w:after="200"/>
        <w:rPr>
          <w:rFonts w:ascii="Calibri" w:hAnsi="Calibri" w:cs="Calibri"/>
        </w:rPr>
      </w:pPr>
      <w:r w:rsidRPr="00752D6B">
        <w:rPr>
          <w:rFonts w:ascii="Calibri" w:eastAsia="Calibri" w:hAnsi="Calibri" w:cs="Calibri"/>
          <w:b/>
          <w:bCs/>
        </w:rPr>
        <w:t>Risk Factors — Shriram Flexi Cap Fund</w:t>
      </w:r>
    </w:p>
    <w:p w14:paraId="5473C820" w14:textId="5A38939C" w:rsidR="00BE3932" w:rsidRPr="00752D6B" w:rsidRDefault="004A3504">
      <w:pPr>
        <w:pStyle w:val="Heading1"/>
        <w:spacing w:before="300" w:after="150"/>
        <w:rPr>
          <w:rFonts w:ascii="Calibri" w:hAnsi="Calibri" w:cs="Calibri"/>
          <w:sz w:val="20"/>
          <w:szCs w:val="20"/>
        </w:rPr>
      </w:pPr>
      <w:r w:rsidRPr="00752D6B">
        <w:rPr>
          <w:rFonts w:ascii="Calibri" w:eastAsia="Calibri" w:hAnsi="Calibri" w:cs="Calibri"/>
          <w:b/>
          <w:bCs/>
          <w:sz w:val="20"/>
          <w:szCs w:val="20"/>
        </w:rPr>
        <w:t xml:space="preserve">Section A — Summary Risk Factors </w:t>
      </w:r>
    </w:p>
    <w:p w14:paraId="5473C822"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Equity Market Risk: </w:t>
      </w:r>
      <w:r w:rsidRPr="00752D6B">
        <w:rPr>
          <w:rFonts w:ascii="Calibri" w:eastAsia="Calibri" w:hAnsi="Calibri" w:cs="Calibri"/>
        </w:rPr>
        <w:t>Equity and equity-related investments are subject to market volatility and company-specific risks.</w:t>
      </w:r>
    </w:p>
    <w:p w14:paraId="5473C823"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Concentration Risk: </w:t>
      </w:r>
      <w:r w:rsidRPr="00752D6B">
        <w:rPr>
          <w:rFonts w:ascii="Calibri" w:eastAsia="Calibri" w:hAnsi="Calibri" w:cs="Calibri"/>
        </w:rPr>
        <w:t>Concentration in specific securities or sectors may increase the impact of adverse movements on the portfolio.</w:t>
      </w:r>
    </w:p>
    <w:p w14:paraId="5473C824"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Liquidity Risk: </w:t>
      </w:r>
      <w:r w:rsidRPr="00752D6B">
        <w:rPr>
          <w:rFonts w:ascii="Calibri" w:eastAsia="Calibri" w:hAnsi="Calibri" w:cs="Calibri"/>
        </w:rPr>
        <w:t xml:space="preserve">Certain securities may have limited liquidity and may not be sold at </w:t>
      </w:r>
      <w:proofErr w:type="spellStart"/>
      <w:r w:rsidRPr="00752D6B">
        <w:rPr>
          <w:rFonts w:ascii="Calibri" w:eastAsia="Calibri" w:hAnsi="Calibri" w:cs="Calibri"/>
        </w:rPr>
        <w:t>favourable</w:t>
      </w:r>
      <w:proofErr w:type="spellEnd"/>
      <w:r w:rsidRPr="00752D6B">
        <w:rPr>
          <w:rFonts w:ascii="Calibri" w:eastAsia="Calibri" w:hAnsi="Calibri" w:cs="Calibri"/>
        </w:rPr>
        <w:t xml:space="preserve"> prices.</w:t>
      </w:r>
    </w:p>
    <w:p w14:paraId="5473C825"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Interest Rate Risk: </w:t>
      </w:r>
      <w:r w:rsidRPr="00752D6B">
        <w:rPr>
          <w:rFonts w:ascii="Calibri" w:eastAsia="Calibri" w:hAnsi="Calibri" w:cs="Calibri"/>
        </w:rPr>
        <w:t>Debt and money-market securities may be affected by changes in interest rates.</w:t>
      </w:r>
    </w:p>
    <w:p w14:paraId="5473C826"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Credit Risk: </w:t>
      </w:r>
      <w:r w:rsidRPr="00752D6B">
        <w:rPr>
          <w:rFonts w:ascii="Calibri" w:eastAsia="Calibri" w:hAnsi="Calibri" w:cs="Calibri"/>
        </w:rPr>
        <w:t>Debt securities are exposed to default, downgrade and deterioration in issuer credit quality.</w:t>
      </w:r>
    </w:p>
    <w:p w14:paraId="5473C827"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Unlisted Securities Risk: </w:t>
      </w:r>
      <w:r w:rsidRPr="00752D6B">
        <w:rPr>
          <w:rFonts w:ascii="Calibri" w:eastAsia="Calibri" w:hAnsi="Calibri" w:cs="Calibri"/>
        </w:rPr>
        <w:t>Investments in unlisted securities may involve higher valuation, liquidity and price-discovery risks.</w:t>
      </w:r>
    </w:p>
    <w:p w14:paraId="5473C828"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Derivative Risk: </w:t>
      </w:r>
      <w:r w:rsidRPr="00752D6B">
        <w:rPr>
          <w:rFonts w:ascii="Calibri" w:eastAsia="Calibri" w:hAnsi="Calibri" w:cs="Calibri"/>
        </w:rPr>
        <w:t>Derivative investments may involve leverage, valuation, liquidity and counterparty risks.</w:t>
      </w:r>
    </w:p>
    <w:p w14:paraId="5473C829" w14:textId="4783B19F" w:rsidR="00BE3932" w:rsidRPr="00752D6B" w:rsidRDefault="004A3504">
      <w:pPr>
        <w:pStyle w:val="Heading1"/>
        <w:spacing w:before="300" w:after="150"/>
        <w:rPr>
          <w:rFonts w:ascii="Calibri" w:hAnsi="Calibri" w:cs="Calibri"/>
          <w:sz w:val="20"/>
          <w:szCs w:val="20"/>
        </w:rPr>
      </w:pPr>
      <w:r w:rsidRPr="00752D6B">
        <w:rPr>
          <w:rFonts w:ascii="Calibri" w:eastAsia="Calibri" w:hAnsi="Calibri" w:cs="Calibri"/>
          <w:b/>
          <w:bCs/>
          <w:sz w:val="20"/>
          <w:szCs w:val="20"/>
        </w:rPr>
        <w:t xml:space="preserve">Section B — Detailed Risk Factors </w:t>
      </w:r>
    </w:p>
    <w:p w14:paraId="5473C82B" w14:textId="77777777" w:rsidR="00BE3932" w:rsidRPr="00752D6B" w:rsidRDefault="004A3504">
      <w:pPr>
        <w:pStyle w:val="Heading2"/>
        <w:spacing w:before="240" w:after="120"/>
        <w:rPr>
          <w:rFonts w:ascii="Calibri" w:hAnsi="Calibri" w:cs="Calibri"/>
          <w:sz w:val="20"/>
          <w:szCs w:val="20"/>
        </w:rPr>
      </w:pPr>
      <w:r w:rsidRPr="00752D6B">
        <w:rPr>
          <w:rFonts w:ascii="Calibri" w:eastAsia="Calibri" w:hAnsi="Calibri" w:cs="Calibri"/>
          <w:b/>
          <w:bCs/>
          <w:i/>
          <w:iCs/>
          <w:sz w:val="20"/>
          <w:szCs w:val="20"/>
        </w:rPr>
        <w:t>1. Scheme-Level / General Risk Factors</w:t>
      </w:r>
    </w:p>
    <w:p w14:paraId="5473C82C"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rPr>
        <w:t>The performance of the scheme may be affected by corporate performance, macro-economic factors, changes in Government policies, general levels of interest rates, and risks associated with trading volumes, liquidity and settlement systems in the securities markets.</w:t>
      </w:r>
    </w:p>
    <w:p w14:paraId="5473C82D"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rPr>
        <w:t xml:space="preserve">Low trading volumes, settlement periods and transfer procedures may restrict the liquidity of the Scheme's investments; extreme market volatility may further constrict trading volumes. Changes in SEBI/RBI regulations may adversely affect liquidity. Different segments of the Indian financial markets have different settlement periods, which may be extended significantly by unforeseen circumstances, potentially affecting the Scheme's ability to meet </w:t>
      </w:r>
      <w:proofErr w:type="gramStart"/>
      <w:r w:rsidRPr="00752D6B">
        <w:rPr>
          <w:rFonts w:ascii="Calibri" w:eastAsia="Calibri" w:hAnsi="Calibri" w:cs="Calibri"/>
        </w:rPr>
        <w:t>a large number of</w:t>
      </w:r>
      <w:proofErr w:type="gramEnd"/>
      <w:r w:rsidRPr="00752D6B">
        <w:rPr>
          <w:rFonts w:ascii="Calibri" w:eastAsia="Calibri" w:hAnsi="Calibri" w:cs="Calibri"/>
        </w:rPr>
        <w:t xml:space="preserve"> redemption requests. The Trustee, at its sole discretion, reserves the right to limit or withdraw sale, repurchase, redemption and/or switching of units temporarily or indefinitely under certain circumstances. The Scheme will retain certain investments in cash or cash equivalents for day-to-day liquidity needs.</w:t>
      </w:r>
    </w:p>
    <w:p w14:paraId="5473C82E" w14:textId="77777777" w:rsidR="00BE3932" w:rsidRPr="00752D6B" w:rsidRDefault="004A3504">
      <w:pPr>
        <w:pStyle w:val="Heading2"/>
        <w:spacing w:before="240" w:after="120"/>
        <w:rPr>
          <w:rFonts w:ascii="Calibri" w:hAnsi="Calibri" w:cs="Calibri"/>
          <w:sz w:val="20"/>
          <w:szCs w:val="20"/>
        </w:rPr>
      </w:pPr>
      <w:r w:rsidRPr="00752D6B">
        <w:rPr>
          <w:rFonts w:ascii="Calibri" w:eastAsia="Calibri" w:hAnsi="Calibri" w:cs="Calibri"/>
          <w:b/>
          <w:bCs/>
          <w:i/>
          <w:iCs/>
          <w:sz w:val="20"/>
          <w:szCs w:val="20"/>
        </w:rPr>
        <w:t>2. Risks Associated with Investments in Equities and Equity-Related Instruments</w:t>
      </w:r>
    </w:p>
    <w:p w14:paraId="5473C82F"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General Market/Company Risk: </w:t>
      </w:r>
      <w:r w:rsidRPr="00752D6B">
        <w:rPr>
          <w:rFonts w:ascii="Calibri" w:eastAsia="Calibri" w:hAnsi="Calibri" w:cs="Calibri"/>
        </w:rPr>
        <w:t xml:space="preserve">Investments in equity and </w:t>
      </w:r>
      <w:proofErr w:type="gramStart"/>
      <w:r w:rsidRPr="00752D6B">
        <w:rPr>
          <w:rFonts w:ascii="Calibri" w:eastAsia="Calibri" w:hAnsi="Calibri" w:cs="Calibri"/>
        </w:rPr>
        <w:t>equity related</w:t>
      </w:r>
      <w:proofErr w:type="gramEnd"/>
      <w:r w:rsidRPr="00752D6B">
        <w:rPr>
          <w:rFonts w:ascii="Calibri" w:eastAsia="Calibri" w:hAnsi="Calibri" w:cs="Calibri"/>
        </w:rPr>
        <w:t xml:space="preserve"> instruments involve a degree of risk, both company-specific and market risk; investors should not invest in the Scheme unless they can afford to take the risk of losing their investment.</w:t>
      </w:r>
    </w:p>
    <w:p w14:paraId="5473C830"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Price Fluctuation Risk: </w:t>
      </w:r>
      <w:r w:rsidRPr="00752D6B">
        <w:rPr>
          <w:rFonts w:ascii="Calibri" w:eastAsia="Calibri" w:hAnsi="Calibri" w:cs="Calibri"/>
        </w:rPr>
        <w:t>The Scheme predominantly invests in equity and equity related securities diversified over various sectors. Equity and equity related instruments are, by nature, volatile and prone to price fluctuations on a daily basis due to macro and micro-economic factors — volume and volatility in capital markets, interest rates, currency exchange rates, changes in Government law/policy, taxation, and political, economic or other developments affecting individual securities, a specific sector or all sectors — which may adversely affect the NAV of the Scheme, and may lead to out-performance or under-performance of the Scheme against its benchmark, NIFTY 500 TRI.</w:t>
      </w:r>
    </w:p>
    <w:p w14:paraId="5473C831"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Liquidity Risk (Listed Securities): </w:t>
      </w:r>
      <w:r w:rsidRPr="00752D6B">
        <w:rPr>
          <w:rFonts w:ascii="Calibri" w:eastAsia="Calibri" w:hAnsi="Calibri" w:cs="Calibri"/>
        </w:rPr>
        <w:t xml:space="preserve">Equity and equity related instruments listed on stock exchanges carry lower liquidity risk; however, the Scheme's ability to sell such investments is limited by overall trading volumes on the exchanges. Settlement periods may be extended significantly by unforeseen circumstances. The inability of the Scheme to make intended purchases due to settlement problems could cause it to </w:t>
      </w:r>
      <w:proofErr w:type="gramStart"/>
      <w:r w:rsidRPr="00752D6B">
        <w:rPr>
          <w:rFonts w:ascii="Calibri" w:eastAsia="Calibri" w:hAnsi="Calibri" w:cs="Calibri"/>
        </w:rPr>
        <w:t>miss</w:t>
      </w:r>
      <w:proofErr w:type="gramEnd"/>
      <w:r w:rsidRPr="00752D6B">
        <w:rPr>
          <w:rFonts w:ascii="Calibri" w:eastAsia="Calibri" w:hAnsi="Calibri" w:cs="Calibri"/>
        </w:rPr>
        <w:t xml:space="preserve"> certain investment opportunities, and the inability to sell securities held in the portfolio may result, at times, in potential losses should there be a subsequent decline in the value of such securities.</w:t>
      </w:r>
    </w:p>
    <w:p w14:paraId="5473C832"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Unlisted Securities Risk: </w:t>
      </w:r>
      <w:r w:rsidRPr="00752D6B">
        <w:rPr>
          <w:rFonts w:ascii="Calibri" w:eastAsia="Calibri" w:hAnsi="Calibri" w:cs="Calibri"/>
        </w:rPr>
        <w:t xml:space="preserve">The Scheme may invest in securities that are not listed on stock exchanges. Such securities may be illiquid in nature and carry a higher amount of liquidity risk compared to listed securities or those offering other exit options. The liquidity and valuation of the Scheme's investments in unlisted securities may be adversely affected if they </w:t>
      </w:r>
      <w:proofErr w:type="gramStart"/>
      <w:r w:rsidRPr="00752D6B">
        <w:rPr>
          <w:rFonts w:ascii="Calibri" w:eastAsia="Calibri" w:hAnsi="Calibri" w:cs="Calibri"/>
        </w:rPr>
        <w:t>have to</w:t>
      </w:r>
      <w:proofErr w:type="gramEnd"/>
      <w:r w:rsidRPr="00752D6B">
        <w:rPr>
          <w:rFonts w:ascii="Calibri" w:eastAsia="Calibri" w:hAnsi="Calibri" w:cs="Calibri"/>
        </w:rPr>
        <w:t xml:space="preserve"> be sold prior to the target date of disinvestment.</w:t>
      </w:r>
    </w:p>
    <w:p w14:paraId="5473C833" w14:textId="77777777" w:rsidR="00BE3932" w:rsidRPr="00752D6B" w:rsidRDefault="004A3504">
      <w:pPr>
        <w:pStyle w:val="Heading2"/>
        <w:spacing w:before="240" w:after="120"/>
        <w:rPr>
          <w:rFonts w:ascii="Calibri" w:hAnsi="Calibri" w:cs="Calibri"/>
          <w:sz w:val="20"/>
          <w:szCs w:val="20"/>
        </w:rPr>
      </w:pPr>
      <w:r w:rsidRPr="00752D6B">
        <w:rPr>
          <w:rFonts w:ascii="Calibri" w:eastAsia="Calibri" w:hAnsi="Calibri" w:cs="Calibri"/>
          <w:b/>
          <w:bCs/>
          <w:i/>
          <w:iCs/>
          <w:sz w:val="20"/>
          <w:szCs w:val="20"/>
        </w:rPr>
        <w:t>3. Risks Associated with Fixed Income Securities</w:t>
      </w:r>
    </w:p>
    <w:p w14:paraId="5473C834"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lastRenderedPageBreak/>
        <w:t xml:space="preserve">Interest-Rate Risk: </w:t>
      </w:r>
      <w:r w:rsidRPr="00752D6B">
        <w:rPr>
          <w:rFonts w:ascii="Calibri" w:eastAsia="Calibri" w:hAnsi="Calibri" w:cs="Calibri"/>
        </w:rPr>
        <w:t>Government bonds, corporate bonds, Money Market Instruments and Derivatives carry price/interest-rate risk. Generally, when interest rates rise, prices of existing fixed income securities fall, and vice versa; the extent of the fall or rise depends on the coupon, maturity and the level at which the security is traded.</w:t>
      </w:r>
    </w:p>
    <w:p w14:paraId="5473C835"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Re-investment Risk: </w:t>
      </w:r>
      <w:r w:rsidRPr="00752D6B">
        <w:rPr>
          <w:rFonts w:ascii="Calibri" w:eastAsia="Calibri" w:hAnsi="Calibri" w:cs="Calibri"/>
        </w:rPr>
        <w:t>Investments in fixed income securities carry re-investment risk, as interest rates prevailing on coupon payment or maturity dates may differ from the original coupon of the bond.</w:t>
      </w:r>
    </w:p>
    <w:p w14:paraId="5473C836"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Basis Risk: </w:t>
      </w:r>
      <w:r w:rsidRPr="00752D6B">
        <w:rPr>
          <w:rFonts w:ascii="Calibri" w:eastAsia="Calibri" w:hAnsi="Calibri" w:cs="Calibri"/>
        </w:rPr>
        <w:t xml:space="preserve">The underlying benchmark of a floating rate security or a swap might become less active or may cease to </w:t>
      </w:r>
      <w:proofErr w:type="gramStart"/>
      <w:r w:rsidRPr="00752D6B">
        <w:rPr>
          <w:rFonts w:ascii="Calibri" w:eastAsia="Calibri" w:hAnsi="Calibri" w:cs="Calibri"/>
        </w:rPr>
        <w:t>exist, and</w:t>
      </w:r>
      <w:proofErr w:type="gramEnd"/>
      <w:r w:rsidRPr="00752D6B">
        <w:rPr>
          <w:rFonts w:ascii="Calibri" w:eastAsia="Calibri" w:hAnsi="Calibri" w:cs="Calibri"/>
        </w:rPr>
        <w:t xml:space="preserve"> thus may not be able to capture exact interest rate movements, leading to loss of portfolio value.</w:t>
      </w:r>
    </w:p>
    <w:p w14:paraId="5473C837"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Spread Risk: </w:t>
      </w:r>
      <w:r w:rsidRPr="00752D6B">
        <w:rPr>
          <w:rFonts w:ascii="Calibri" w:eastAsia="Calibri" w:hAnsi="Calibri" w:cs="Calibri"/>
        </w:rPr>
        <w:t>In a floating rate security, the coupon is expressed as a spread or mark-up over the benchmark rate; this spread may move adversely during the life of the security, leading to a loss in value even where the underlying benchmark yield is unchanged.</w:t>
      </w:r>
    </w:p>
    <w:p w14:paraId="5473C838"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Liquidity Risk (Debt): </w:t>
      </w:r>
      <w:r w:rsidRPr="00752D6B">
        <w:rPr>
          <w:rFonts w:ascii="Calibri" w:eastAsia="Calibri" w:hAnsi="Calibri" w:cs="Calibri"/>
        </w:rPr>
        <w:t>The liquidity of a bond may change depending on market conditions; at the time of selling, the security can become illiquid, leading to a loss in portfolio value.</w:t>
      </w:r>
    </w:p>
    <w:p w14:paraId="5473C839"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Credit Risk: </w:t>
      </w:r>
      <w:r w:rsidRPr="00752D6B">
        <w:rPr>
          <w:rFonts w:ascii="Calibri" w:eastAsia="Calibri" w:hAnsi="Calibri" w:cs="Calibri"/>
        </w:rPr>
        <w:t>This is the risk of an issuer of a debenture/bond or Money Market Instrument defaulting on coupon or principal payments. Even absent default, the price of a security may change with expected changes in the issuer's credit rating. Government securities are the safest; corporate bonds carry a higher amount of credit risk, with risk varying by rating within corporate bonds.</w:t>
      </w:r>
    </w:p>
    <w:p w14:paraId="5473C83A"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Liquidity Risk — Unlisted Securities: </w:t>
      </w:r>
      <w:r w:rsidRPr="00752D6B">
        <w:rPr>
          <w:rFonts w:ascii="Calibri" w:eastAsia="Calibri" w:hAnsi="Calibri" w:cs="Calibri"/>
        </w:rPr>
        <w:t xml:space="preserve">The liquidity and valuation of the Scheme's investments in unlisted debt securities may be affected if they </w:t>
      </w:r>
      <w:proofErr w:type="gramStart"/>
      <w:r w:rsidRPr="00752D6B">
        <w:rPr>
          <w:rFonts w:ascii="Calibri" w:eastAsia="Calibri" w:hAnsi="Calibri" w:cs="Calibri"/>
        </w:rPr>
        <w:t>have to</w:t>
      </w:r>
      <w:proofErr w:type="gramEnd"/>
      <w:r w:rsidRPr="00752D6B">
        <w:rPr>
          <w:rFonts w:ascii="Calibri" w:eastAsia="Calibri" w:hAnsi="Calibri" w:cs="Calibri"/>
        </w:rPr>
        <w:t xml:space="preserve"> be sold prior to their target date of divestment, potentially leading to losses.</w:t>
      </w:r>
    </w:p>
    <w:p w14:paraId="5473C83B"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Settlement Risk: </w:t>
      </w:r>
      <w:r w:rsidRPr="00752D6B">
        <w:rPr>
          <w:rFonts w:ascii="Calibri" w:eastAsia="Calibri" w:hAnsi="Calibri" w:cs="Calibri"/>
        </w:rPr>
        <w:t>Fixed income securities carry settlement risk, which can adversely affect the fund house's ability to swiftly execute trading strategies and can lead to adverse movements in NAV.</w:t>
      </w:r>
    </w:p>
    <w:p w14:paraId="5473C83C" w14:textId="77777777" w:rsidR="00BE3932" w:rsidRPr="00752D6B" w:rsidRDefault="004A3504">
      <w:pPr>
        <w:pStyle w:val="Heading2"/>
        <w:spacing w:before="240" w:after="120"/>
        <w:rPr>
          <w:rFonts w:ascii="Calibri" w:hAnsi="Calibri" w:cs="Calibri"/>
          <w:sz w:val="20"/>
          <w:szCs w:val="20"/>
        </w:rPr>
      </w:pPr>
      <w:r w:rsidRPr="00752D6B">
        <w:rPr>
          <w:rFonts w:ascii="Calibri" w:eastAsia="Calibri" w:hAnsi="Calibri" w:cs="Calibri"/>
          <w:b/>
          <w:bCs/>
          <w:i/>
          <w:iCs/>
          <w:sz w:val="20"/>
          <w:szCs w:val="20"/>
        </w:rPr>
        <w:t>4. Risks Associated with Investing in Derivatives</w:t>
      </w:r>
    </w:p>
    <w:p w14:paraId="5473C83D"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Systematic/Market Risk: </w:t>
      </w:r>
      <w:r w:rsidRPr="00752D6B">
        <w:rPr>
          <w:rFonts w:ascii="Calibri" w:eastAsia="Calibri" w:hAnsi="Calibri" w:cs="Calibri"/>
        </w:rPr>
        <w:t>Risk associated with the entire market rather than a specific security or sector, arising from macro-economic factors and news events.</w:t>
      </w:r>
    </w:p>
    <w:p w14:paraId="5473C83E"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Mark-to-Market Risk: </w:t>
      </w:r>
      <w:r w:rsidRPr="00752D6B">
        <w:rPr>
          <w:rFonts w:ascii="Calibri" w:eastAsia="Calibri" w:hAnsi="Calibri" w:cs="Calibri"/>
        </w:rPr>
        <w:t>Day-to-day fluctuations in the underlying security and its derivative instrument can adversely affect the portfolio.</w:t>
      </w:r>
    </w:p>
    <w:p w14:paraId="5473C83F"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Credit (Counterparty) Risk: </w:t>
      </w:r>
      <w:r w:rsidRPr="00752D6B">
        <w:rPr>
          <w:rFonts w:ascii="Calibri" w:eastAsia="Calibri" w:hAnsi="Calibri" w:cs="Calibri"/>
        </w:rPr>
        <w:t>The risk that a derivative counterparty defaults on its obligations; this is generally small, as a derivative transaction typically does not involve exchange of the principal amount.</w:t>
      </w:r>
    </w:p>
    <w:p w14:paraId="5473C840"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Interest Rate Risk: </w:t>
      </w:r>
      <w:r w:rsidRPr="00752D6B">
        <w:rPr>
          <w:rFonts w:ascii="Calibri" w:eastAsia="Calibri" w:hAnsi="Calibri" w:cs="Calibri"/>
        </w:rPr>
        <w:t>Derivatives carry the risk of adverse price changes arising from movements in interest rates.</w:t>
      </w:r>
    </w:p>
    <w:p w14:paraId="5473C841"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Basis Risk: </w:t>
      </w:r>
      <w:r w:rsidRPr="00752D6B">
        <w:rPr>
          <w:rFonts w:ascii="Calibri" w:eastAsia="Calibri" w:hAnsi="Calibri" w:cs="Calibri"/>
        </w:rPr>
        <w:t>Where a security is hedged using a derivative, price changes in the security and in the derivative may not be fully correlated.</w:t>
      </w:r>
    </w:p>
    <w:p w14:paraId="5473C842"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Liquidity Risk: </w:t>
      </w:r>
      <w:r w:rsidRPr="00752D6B">
        <w:rPr>
          <w:rFonts w:ascii="Calibri" w:eastAsia="Calibri" w:hAnsi="Calibri" w:cs="Calibri"/>
        </w:rPr>
        <w:t>The benchmark underlying a derivative may become illiquid during its life, or unwinding/selling prices may not reflect the underlying assets, rates or indices, causing a loss of value.</w:t>
      </w:r>
    </w:p>
    <w:p w14:paraId="5473C843"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Model Risk: </w:t>
      </w:r>
      <w:r w:rsidRPr="00752D6B">
        <w:rPr>
          <w:rFonts w:ascii="Calibri" w:eastAsia="Calibri" w:hAnsi="Calibri" w:cs="Calibri"/>
        </w:rPr>
        <w:t>The risk of mis-pricing or improper valuation of derivatives.</w:t>
      </w:r>
    </w:p>
    <w:p w14:paraId="5473C844"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Trade Execution Risk: </w:t>
      </w:r>
      <w:r w:rsidRPr="00752D6B">
        <w:rPr>
          <w:rFonts w:ascii="Calibri" w:eastAsia="Calibri" w:hAnsi="Calibri" w:cs="Calibri"/>
        </w:rPr>
        <w:t>The risk that the final execution price differs from the screen price, diluting spreads and affecting the profitability of the strategy (e.g. arbitrage/reverse-arbitrage).</w:t>
      </w:r>
    </w:p>
    <w:p w14:paraId="5473C845"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Systemic Risk: </w:t>
      </w:r>
      <w:r w:rsidRPr="00752D6B">
        <w:rPr>
          <w:rFonts w:ascii="Calibri" w:eastAsia="Calibri" w:hAnsi="Calibri" w:cs="Calibri"/>
        </w:rPr>
        <w:t>For OTC derivatives in particular, the failure of one counterparty can place the whole system at risk.</w:t>
      </w:r>
    </w:p>
    <w:p w14:paraId="5473C846"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Leverage Risk: </w:t>
      </w:r>
      <w:r w:rsidRPr="00752D6B">
        <w:rPr>
          <w:rFonts w:ascii="Calibri" w:eastAsia="Calibri" w:hAnsi="Calibri" w:cs="Calibri"/>
        </w:rPr>
        <w:t>Derivatives are highly leveraged instruments; a small price movement in the underlying can have a disproportionately large impact on value, leading to gains or losses greater than those from direct investment. Successful execution depends on the fund manager's ability to identify and time opportunities correctly, which cannot be assured. The risks associated with the use of derivatives are different from, or possibly greater than, the risks associated with investing directly in securities and other traditional investments.</w:t>
      </w:r>
    </w:p>
    <w:p w14:paraId="5473C847" w14:textId="77777777" w:rsidR="00BE3932" w:rsidRPr="00752D6B" w:rsidRDefault="004A3504">
      <w:pPr>
        <w:pStyle w:val="Heading2"/>
        <w:spacing w:before="240" w:after="120"/>
        <w:rPr>
          <w:rFonts w:ascii="Calibri" w:hAnsi="Calibri" w:cs="Calibri"/>
          <w:sz w:val="20"/>
          <w:szCs w:val="20"/>
        </w:rPr>
      </w:pPr>
      <w:r w:rsidRPr="00752D6B">
        <w:rPr>
          <w:rFonts w:ascii="Calibri" w:eastAsia="Calibri" w:hAnsi="Calibri" w:cs="Calibri"/>
          <w:b/>
          <w:bCs/>
          <w:i/>
          <w:iCs/>
          <w:sz w:val="20"/>
          <w:szCs w:val="20"/>
        </w:rPr>
        <w:t>5. Risks Associated with Short Selling and Securities Lending</w:t>
      </w:r>
    </w:p>
    <w:p w14:paraId="5473C848"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Securities Lending Risk: </w:t>
      </w:r>
      <w:r w:rsidRPr="00752D6B">
        <w:rPr>
          <w:rFonts w:ascii="Calibri" w:eastAsia="Calibri" w:hAnsi="Calibri" w:cs="Calibri"/>
        </w:rPr>
        <w:t xml:space="preserve">Lending of securities through an approved intermediary carries the risk of the counterparty failing to comply with the terms of the agreement, which could result in loss of rights to the collateral, inability to recover the securities deposited by the lender, and loss of corporate benefits accruing </w:t>
      </w:r>
      <w:proofErr w:type="gramStart"/>
      <w:r w:rsidRPr="00752D6B">
        <w:rPr>
          <w:rFonts w:ascii="Calibri" w:eastAsia="Calibri" w:hAnsi="Calibri" w:cs="Calibri"/>
        </w:rPr>
        <w:t>on</w:t>
      </w:r>
      <w:proofErr w:type="gramEnd"/>
      <w:r w:rsidRPr="00752D6B">
        <w:rPr>
          <w:rFonts w:ascii="Calibri" w:eastAsia="Calibri" w:hAnsi="Calibri" w:cs="Calibri"/>
        </w:rPr>
        <w:t xml:space="preserve"> them.</w:t>
      </w:r>
    </w:p>
    <w:p w14:paraId="5473C849"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lastRenderedPageBreak/>
        <w:t xml:space="preserve">Short-Selling Risk: </w:t>
      </w:r>
      <w:r w:rsidRPr="00752D6B">
        <w:rPr>
          <w:rFonts w:ascii="Calibri" w:eastAsia="Calibri" w:hAnsi="Calibri" w:cs="Calibri"/>
        </w:rPr>
        <w:t xml:space="preserve">In short selling, the Scheme sells borrowed securities and later buys them back to close </w:t>
      </w:r>
      <w:proofErr w:type="gramStart"/>
      <w:r w:rsidRPr="00752D6B">
        <w:rPr>
          <w:rFonts w:ascii="Calibri" w:eastAsia="Calibri" w:hAnsi="Calibri" w:cs="Calibri"/>
        </w:rPr>
        <w:t>the position</w:t>
      </w:r>
      <w:proofErr w:type="gramEnd"/>
      <w:r w:rsidRPr="00752D6B">
        <w:rPr>
          <w:rFonts w:ascii="Calibri" w:eastAsia="Calibri" w:hAnsi="Calibri" w:cs="Calibri"/>
        </w:rPr>
        <w:t xml:space="preserve">. Key risks are counterparty risk and the liquidity risk of the borrowed security — the security may </w:t>
      </w:r>
      <w:proofErr w:type="gramStart"/>
      <w:r w:rsidRPr="00752D6B">
        <w:rPr>
          <w:rFonts w:ascii="Calibri" w:eastAsia="Calibri" w:hAnsi="Calibri" w:cs="Calibri"/>
        </w:rPr>
        <w:t>be or become</w:t>
      </w:r>
      <w:proofErr w:type="gramEnd"/>
      <w:r w:rsidRPr="00752D6B">
        <w:rPr>
          <w:rFonts w:ascii="Calibri" w:eastAsia="Calibri" w:hAnsi="Calibri" w:cs="Calibri"/>
        </w:rPr>
        <w:t xml:space="preserve"> illiquid, and covering the position may occur at a materially higher price than anticipated, leading to losses.</w:t>
      </w:r>
    </w:p>
    <w:p w14:paraId="5473C84A" w14:textId="77777777" w:rsidR="00BE3932" w:rsidRPr="00752D6B" w:rsidRDefault="004A3504">
      <w:pPr>
        <w:pStyle w:val="Heading2"/>
        <w:spacing w:before="240" w:after="120"/>
        <w:rPr>
          <w:rFonts w:ascii="Calibri" w:hAnsi="Calibri" w:cs="Calibri"/>
          <w:sz w:val="20"/>
          <w:szCs w:val="20"/>
        </w:rPr>
      </w:pPr>
      <w:r w:rsidRPr="00752D6B">
        <w:rPr>
          <w:rFonts w:ascii="Calibri" w:eastAsia="Calibri" w:hAnsi="Calibri" w:cs="Calibri"/>
          <w:b/>
          <w:bCs/>
          <w:i/>
          <w:iCs/>
          <w:sz w:val="20"/>
          <w:szCs w:val="20"/>
        </w:rPr>
        <w:t>6. Risks for Writing Covered Call Options on Equity Shares</w:t>
      </w:r>
    </w:p>
    <w:p w14:paraId="5473C84B"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rPr>
        <w:t>A call option gives the holder (buyer) the right, but not the obligation, to buy an asset by a certain date for a certain price. Covered calls involve holding a long position in an asset and writing (selling) call options on the same asset to generate income. The Scheme may write call options under a covered call strategy, as permitted by the Regulations, subject to the following risks:</w:t>
      </w:r>
    </w:p>
    <w:p w14:paraId="5473C84C"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Capped Upside / Specialized-Activity Risk: </w:t>
      </w:r>
      <w:r w:rsidRPr="00752D6B">
        <w:rPr>
          <w:rFonts w:ascii="Calibri" w:eastAsia="Calibri" w:hAnsi="Calibri" w:cs="Calibri"/>
        </w:rPr>
        <w:t xml:space="preserve">Writing call options </w:t>
      </w:r>
      <w:proofErr w:type="gramStart"/>
      <w:r w:rsidRPr="00752D6B">
        <w:rPr>
          <w:rFonts w:ascii="Calibri" w:eastAsia="Calibri" w:hAnsi="Calibri" w:cs="Calibri"/>
        </w:rPr>
        <w:t>entails</w:t>
      </w:r>
      <w:proofErr w:type="gramEnd"/>
      <w:r w:rsidRPr="00752D6B">
        <w:rPr>
          <w:rFonts w:ascii="Calibri" w:eastAsia="Calibri" w:hAnsi="Calibri" w:cs="Calibri"/>
        </w:rPr>
        <w:t xml:space="preserve"> higher-than-ordinary investment risk. Profit from call option writing is capped at the option premium, while downside depends on the increase in value of the underlying equity shares (though reduced to the extent of the premium received).</w:t>
      </w:r>
    </w:p>
    <w:p w14:paraId="5473C84D"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Exit/Liquidity Risk on Underlying: </w:t>
      </w:r>
      <w:r w:rsidRPr="00752D6B">
        <w:rPr>
          <w:rFonts w:ascii="Calibri" w:eastAsia="Calibri" w:hAnsi="Calibri" w:cs="Calibri"/>
        </w:rPr>
        <w:t>The Scheme may write covered call options only where it holds adequate underlying equity shares as per regulatory requirement, setting aside a portion of the investment in such shares. If covered call options are sold to the maximum extent permitted, the Scheme may not be able to sell the underlying shares immediately on a change of view, as the options must first be unwound; this may lead to loss of opportunity or, if the relevant option contracts become illiquid, temporary illiquidity of the underlying shares.</w:t>
      </w:r>
    </w:p>
    <w:p w14:paraId="5473C84E"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Opportunity-Loss Risk: </w:t>
      </w:r>
      <w:r w:rsidRPr="00752D6B">
        <w:rPr>
          <w:rFonts w:ascii="Calibri" w:eastAsia="Calibri" w:hAnsi="Calibri" w:cs="Calibri"/>
        </w:rPr>
        <w:t>Writing a covered call option can lead to loss of opportunity where the appreciation in the underlying equity share price exceeds the option premium received, resulting in the Scheme foregoing part of the potential gain.</w:t>
      </w:r>
    </w:p>
    <w:p w14:paraId="5473C84F"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b/>
          <w:bCs/>
        </w:rPr>
        <w:t xml:space="preserve">Exposure-Limit Risk: </w:t>
      </w:r>
      <w:r w:rsidRPr="00752D6B">
        <w:rPr>
          <w:rFonts w:ascii="Calibri" w:eastAsia="Calibri" w:hAnsi="Calibri" w:cs="Calibri"/>
        </w:rPr>
        <w:t>The total gross exposure related to option premium paid and received must not exceed the regulatory limits applicable to the net assets of the Scheme, which may restrict the Scheme's ability to buy options.</w:t>
      </w:r>
    </w:p>
    <w:p w14:paraId="5473C850" w14:textId="77777777" w:rsidR="00BE3932" w:rsidRPr="00752D6B" w:rsidRDefault="004A3504">
      <w:pPr>
        <w:pStyle w:val="Heading2"/>
        <w:spacing w:before="240" w:after="120"/>
        <w:rPr>
          <w:rFonts w:ascii="Calibri" w:hAnsi="Calibri" w:cs="Calibri"/>
          <w:sz w:val="20"/>
          <w:szCs w:val="20"/>
        </w:rPr>
      </w:pPr>
      <w:r w:rsidRPr="00752D6B">
        <w:rPr>
          <w:rFonts w:ascii="Calibri" w:eastAsia="Calibri" w:hAnsi="Calibri" w:cs="Calibri"/>
          <w:b/>
          <w:bCs/>
          <w:i/>
          <w:iCs/>
          <w:sz w:val="20"/>
          <w:szCs w:val="20"/>
        </w:rPr>
        <w:t>7. Risk Associated with Transacting through Email (Non-Individual Investors)</w:t>
      </w:r>
    </w:p>
    <w:p w14:paraId="5473C851" w14:textId="77777777" w:rsidR="00BE3932" w:rsidRPr="00752D6B" w:rsidRDefault="004A3504">
      <w:pPr>
        <w:pStyle w:val="ListParagraph"/>
        <w:numPr>
          <w:ilvl w:val="0"/>
          <w:numId w:val="2"/>
        </w:numPr>
        <w:spacing w:after="100"/>
        <w:jc w:val="both"/>
        <w:rPr>
          <w:rFonts w:ascii="Calibri" w:hAnsi="Calibri" w:cs="Calibri"/>
        </w:rPr>
      </w:pPr>
      <w:r w:rsidRPr="00752D6B">
        <w:rPr>
          <w:rFonts w:ascii="Calibri" w:eastAsia="Calibri" w:hAnsi="Calibri" w:cs="Calibri"/>
        </w:rPr>
        <w:t xml:space="preserve">Email-based instructions are inherently vulnerable to interception, </w:t>
      </w:r>
      <w:proofErr w:type="spellStart"/>
      <w:r w:rsidRPr="00752D6B">
        <w:rPr>
          <w:rFonts w:ascii="Calibri" w:eastAsia="Calibri" w:hAnsi="Calibri" w:cs="Calibri"/>
        </w:rPr>
        <w:t>unauthorised</w:t>
      </w:r>
      <w:proofErr w:type="spellEnd"/>
      <w:r w:rsidRPr="00752D6B">
        <w:rPr>
          <w:rFonts w:ascii="Calibri" w:eastAsia="Calibri" w:hAnsi="Calibri" w:cs="Calibri"/>
        </w:rPr>
        <w:t xml:space="preserve"> access, phishing, spoofing, failed delivery and unintended transmission. The AMC does not accept responsibility for loss, damage or inconvenience arising from errors, delays, non-receipt or </w:t>
      </w:r>
      <w:proofErr w:type="spellStart"/>
      <w:r w:rsidRPr="00752D6B">
        <w:rPr>
          <w:rFonts w:ascii="Calibri" w:eastAsia="Calibri" w:hAnsi="Calibri" w:cs="Calibri"/>
        </w:rPr>
        <w:t>unauthorised</w:t>
      </w:r>
      <w:proofErr w:type="spellEnd"/>
      <w:r w:rsidRPr="00752D6B">
        <w:rPr>
          <w:rFonts w:ascii="Calibri" w:eastAsia="Calibri" w:hAnsi="Calibri" w:cs="Calibri"/>
        </w:rPr>
        <w:t xml:space="preserve"> access associated with transacting through email.</w:t>
      </w:r>
    </w:p>
    <w:p w14:paraId="5473C858" w14:textId="03192EB6" w:rsidR="00BE3932" w:rsidRPr="00752D6B" w:rsidRDefault="00BE3932">
      <w:pPr>
        <w:spacing w:before="200" w:after="120"/>
        <w:jc w:val="both"/>
        <w:rPr>
          <w:rFonts w:ascii="Calibri" w:hAnsi="Calibri" w:cs="Calibri"/>
        </w:rPr>
      </w:pPr>
    </w:p>
    <w:sectPr w:rsidR="00BE3932" w:rsidRPr="00752D6B">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94786A"/>
    <w:multiLevelType w:val="hybridMultilevel"/>
    <w:tmpl w:val="88CA44D8"/>
    <w:lvl w:ilvl="0" w:tplc="6486F57E">
      <w:start w:val="1"/>
      <w:numFmt w:val="bullet"/>
      <w:lvlText w:val="•"/>
      <w:lvlJc w:val="left"/>
      <w:pPr>
        <w:ind w:left="504" w:hanging="288"/>
      </w:pPr>
    </w:lvl>
    <w:lvl w:ilvl="1" w:tplc="731696B0">
      <w:start w:val="1"/>
      <w:numFmt w:val="bullet"/>
      <w:lvlText w:val="o"/>
      <w:lvlJc w:val="left"/>
      <w:pPr>
        <w:ind w:left="1008" w:hanging="288"/>
      </w:pPr>
    </w:lvl>
    <w:lvl w:ilvl="2" w:tplc="47C6EF46">
      <w:numFmt w:val="decimal"/>
      <w:lvlText w:val=""/>
      <w:lvlJc w:val="left"/>
    </w:lvl>
    <w:lvl w:ilvl="3" w:tplc="E318BDF8">
      <w:numFmt w:val="decimal"/>
      <w:lvlText w:val=""/>
      <w:lvlJc w:val="left"/>
    </w:lvl>
    <w:lvl w:ilvl="4" w:tplc="8B083D32">
      <w:numFmt w:val="decimal"/>
      <w:lvlText w:val=""/>
      <w:lvlJc w:val="left"/>
    </w:lvl>
    <w:lvl w:ilvl="5" w:tplc="FA7036B6">
      <w:numFmt w:val="decimal"/>
      <w:lvlText w:val=""/>
      <w:lvlJc w:val="left"/>
    </w:lvl>
    <w:lvl w:ilvl="6" w:tplc="768C3B26">
      <w:numFmt w:val="decimal"/>
      <w:lvlText w:val=""/>
      <w:lvlJc w:val="left"/>
    </w:lvl>
    <w:lvl w:ilvl="7" w:tplc="6E64739C">
      <w:numFmt w:val="decimal"/>
      <w:lvlText w:val=""/>
      <w:lvlJc w:val="left"/>
    </w:lvl>
    <w:lvl w:ilvl="8" w:tplc="9D6CABF0">
      <w:numFmt w:val="decimal"/>
      <w:lvlText w:val=""/>
      <w:lvlJc w:val="left"/>
    </w:lvl>
  </w:abstractNum>
  <w:abstractNum w:abstractNumId="1" w15:restartNumberingAfterBreak="0">
    <w:nsid w:val="78CF7B19"/>
    <w:multiLevelType w:val="hybridMultilevel"/>
    <w:tmpl w:val="CBC616D2"/>
    <w:lvl w:ilvl="0" w:tplc="FBEE6544">
      <w:start w:val="1"/>
      <w:numFmt w:val="bullet"/>
      <w:lvlText w:val="●"/>
      <w:lvlJc w:val="left"/>
      <w:pPr>
        <w:ind w:left="720" w:hanging="360"/>
      </w:pPr>
    </w:lvl>
    <w:lvl w:ilvl="1" w:tplc="440A8298">
      <w:start w:val="1"/>
      <w:numFmt w:val="bullet"/>
      <w:lvlText w:val="○"/>
      <w:lvlJc w:val="left"/>
      <w:pPr>
        <w:ind w:left="1440" w:hanging="360"/>
      </w:pPr>
    </w:lvl>
    <w:lvl w:ilvl="2" w:tplc="A7F05210">
      <w:start w:val="1"/>
      <w:numFmt w:val="bullet"/>
      <w:lvlText w:val="■"/>
      <w:lvlJc w:val="left"/>
      <w:pPr>
        <w:ind w:left="2160" w:hanging="360"/>
      </w:pPr>
    </w:lvl>
    <w:lvl w:ilvl="3" w:tplc="84AC4D2C">
      <w:start w:val="1"/>
      <w:numFmt w:val="bullet"/>
      <w:lvlText w:val="●"/>
      <w:lvlJc w:val="left"/>
      <w:pPr>
        <w:ind w:left="2880" w:hanging="360"/>
      </w:pPr>
    </w:lvl>
    <w:lvl w:ilvl="4" w:tplc="036CAB22">
      <w:start w:val="1"/>
      <w:numFmt w:val="bullet"/>
      <w:lvlText w:val="○"/>
      <w:lvlJc w:val="left"/>
      <w:pPr>
        <w:ind w:left="3600" w:hanging="360"/>
      </w:pPr>
    </w:lvl>
    <w:lvl w:ilvl="5" w:tplc="B63229AE">
      <w:start w:val="1"/>
      <w:numFmt w:val="bullet"/>
      <w:lvlText w:val="■"/>
      <w:lvlJc w:val="left"/>
      <w:pPr>
        <w:ind w:left="4320" w:hanging="360"/>
      </w:pPr>
    </w:lvl>
    <w:lvl w:ilvl="6" w:tplc="7A8E1B56">
      <w:start w:val="1"/>
      <w:numFmt w:val="bullet"/>
      <w:lvlText w:val="●"/>
      <w:lvlJc w:val="left"/>
      <w:pPr>
        <w:ind w:left="5040" w:hanging="360"/>
      </w:pPr>
    </w:lvl>
    <w:lvl w:ilvl="7" w:tplc="258CC270">
      <w:start w:val="1"/>
      <w:numFmt w:val="bullet"/>
      <w:lvlText w:val="●"/>
      <w:lvlJc w:val="left"/>
      <w:pPr>
        <w:ind w:left="5760" w:hanging="360"/>
      </w:pPr>
    </w:lvl>
    <w:lvl w:ilvl="8" w:tplc="CA18A95C">
      <w:start w:val="1"/>
      <w:numFmt w:val="bullet"/>
      <w:lvlText w:val="●"/>
      <w:lvlJc w:val="left"/>
      <w:pPr>
        <w:ind w:left="6480" w:hanging="360"/>
      </w:pPr>
    </w:lvl>
  </w:abstractNum>
  <w:num w:numId="1" w16cid:durableId="2125805049">
    <w:abstractNumId w:val="1"/>
    <w:lvlOverride w:ilvl="0">
      <w:startOverride w:val="1"/>
    </w:lvlOverride>
  </w:num>
  <w:num w:numId="2" w16cid:durableId="6148752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932"/>
    <w:rsid w:val="00353153"/>
    <w:rsid w:val="004533BA"/>
    <w:rsid w:val="004A3504"/>
    <w:rsid w:val="005678B7"/>
    <w:rsid w:val="00743613"/>
    <w:rsid w:val="00752D6B"/>
    <w:rsid w:val="00BE3932"/>
    <w:rsid w:val="00C56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3C81C"/>
  <w15:docId w15:val="{22B8BFF3-51D5-45B0-A805-CCCD9848B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1645</Words>
  <Characters>9378</Characters>
  <Application>Microsoft Office Word</Application>
  <DocSecurity>0</DocSecurity>
  <Lines>78</Lines>
  <Paragraphs>22</Paragraphs>
  <ScaleCrop>false</ScaleCrop>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Rishabh Kabra</cp:lastModifiedBy>
  <cp:revision>4</cp:revision>
  <dcterms:created xsi:type="dcterms:W3CDTF">2026-08-24T06:12:00Z</dcterms:created>
  <dcterms:modified xsi:type="dcterms:W3CDTF">2026-08-24T08:42:00Z</dcterms:modified>
</cp:coreProperties>
</file>