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607F" w14:textId="77777777" w:rsidR="0066179A" w:rsidRPr="00130E3A" w:rsidRDefault="00A16FA4" w:rsidP="00777CF0">
      <w:pPr>
        <w:spacing w:after="100"/>
        <w:rPr>
          <w:rFonts w:ascii="Calibri" w:hAnsi="Calibri" w:cs="Calibri"/>
        </w:rPr>
      </w:pPr>
      <w:r w:rsidRPr="00130E3A">
        <w:rPr>
          <w:rFonts w:ascii="Calibri" w:hAnsi="Calibri" w:cs="Calibri"/>
          <w:b/>
          <w:bCs/>
        </w:rPr>
        <w:t>Risk Factors — Shriram Balanced Advantage Fund</w:t>
      </w:r>
    </w:p>
    <w:p w14:paraId="52916083" w14:textId="123D7F56" w:rsidR="0066179A" w:rsidRPr="00130E3A" w:rsidRDefault="00A16FA4">
      <w:pPr>
        <w:pStyle w:val="Heading1"/>
        <w:spacing w:before="240" w:after="120"/>
        <w:rPr>
          <w:rFonts w:ascii="Calibri" w:hAnsi="Calibri" w:cs="Calibri"/>
          <w:sz w:val="20"/>
          <w:szCs w:val="20"/>
        </w:rPr>
      </w:pPr>
      <w:r w:rsidRPr="00130E3A">
        <w:rPr>
          <w:rFonts w:ascii="Calibri" w:hAnsi="Calibri" w:cs="Calibri"/>
          <w:b/>
          <w:bCs/>
          <w:sz w:val="20"/>
          <w:szCs w:val="20"/>
        </w:rPr>
        <w:t xml:space="preserve">Section A — Summary Risk Factors </w:t>
      </w:r>
    </w:p>
    <w:p w14:paraId="52916085" w14:textId="77777777" w:rsidR="0066179A" w:rsidRPr="00130E3A" w:rsidRDefault="00A16FA4">
      <w:pPr>
        <w:spacing w:after="120"/>
        <w:ind w:left="431"/>
        <w:rPr>
          <w:rFonts w:ascii="Calibri" w:hAnsi="Calibri" w:cs="Calibri"/>
        </w:rPr>
      </w:pPr>
      <w:r w:rsidRPr="00130E3A">
        <w:rPr>
          <w:rFonts w:ascii="Calibri" w:hAnsi="Calibri" w:cs="Calibri"/>
          <w:b/>
          <w:bCs/>
        </w:rPr>
        <w:t xml:space="preserve">• Equity Market Risk: </w:t>
      </w:r>
      <w:r w:rsidRPr="00130E3A">
        <w:rPr>
          <w:rFonts w:ascii="Calibri" w:hAnsi="Calibri" w:cs="Calibri"/>
        </w:rPr>
        <w:t>Equity and equity-related securities are volatile and subject to company-specific and market risks, including price fluctuations driven by macro and micro-economic factors.</w:t>
      </w:r>
    </w:p>
    <w:p w14:paraId="52916086" w14:textId="77777777" w:rsidR="0066179A" w:rsidRPr="00130E3A" w:rsidRDefault="00A16FA4">
      <w:pPr>
        <w:spacing w:after="120"/>
        <w:ind w:left="431"/>
        <w:rPr>
          <w:rFonts w:ascii="Calibri" w:hAnsi="Calibri" w:cs="Calibri"/>
        </w:rPr>
      </w:pPr>
      <w:r w:rsidRPr="00130E3A">
        <w:rPr>
          <w:rFonts w:ascii="Calibri" w:hAnsi="Calibri" w:cs="Calibri"/>
          <w:b/>
          <w:bCs/>
        </w:rPr>
        <w:t xml:space="preserve">• Asset Allocation / Dynamic Allocation Risk: </w:t>
      </w:r>
      <w:r w:rsidRPr="00130E3A">
        <w:rPr>
          <w:rFonts w:ascii="Calibri" w:hAnsi="Calibri" w:cs="Calibri"/>
        </w:rPr>
        <w:t>As an open-ended dynamic asset allocation fund, the Scheme's performance may be affected by the fund manager's shifts in allocation between equity, debt and money-market instruments, and by corporate performance, macro-economic factors and Government policy changes.</w:t>
      </w:r>
    </w:p>
    <w:p w14:paraId="52916087" w14:textId="77777777" w:rsidR="0066179A" w:rsidRPr="00130E3A" w:rsidRDefault="00A16FA4">
      <w:pPr>
        <w:spacing w:after="120"/>
        <w:ind w:left="431"/>
        <w:rPr>
          <w:rFonts w:ascii="Calibri" w:hAnsi="Calibri" w:cs="Calibri"/>
        </w:rPr>
      </w:pPr>
      <w:r w:rsidRPr="00130E3A">
        <w:rPr>
          <w:rFonts w:ascii="Calibri" w:hAnsi="Calibri" w:cs="Calibri"/>
          <w:b/>
          <w:bCs/>
        </w:rPr>
        <w:t xml:space="preserve">• Interest Rate Risk: </w:t>
      </w:r>
      <w:r w:rsidRPr="00130E3A">
        <w:rPr>
          <w:rFonts w:ascii="Calibri" w:hAnsi="Calibri" w:cs="Calibri"/>
        </w:rPr>
        <w:t>Changes in interest rates may affect the price of debt and money-market instruments, and consequently the Scheme's NAV.</w:t>
      </w:r>
    </w:p>
    <w:p w14:paraId="52916088" w14:textId="77777777" w:rsidR="0066179A" w:rsidRPr="00130E3A" w:rsidRDefault="00A16FA4">
      <w:pPr>
        <w:spacing w:after="120"/>
        <w:ind w:left="431"/>
        <w:rPr>
          <w:rFonts w:ascii="Calibri" w:hAnsi="Calibri" w:cs="Calibri"/>
        </w:rPr>
      </w:pPr>
      <w:r w:rsidRPr="00130E3A">
        <w:rPr>
          <w:rFonts w:ascii="Calibri" w:hAnsi="Calibri" w:cs="Calibri"/>
          <w:b/>
          <w:bCs/>
        </w:rPr>
        <w:t xml:space="preserve">• Credit Risk: </w:t>
      </w:r>
      <w:r w:rsidRPr="00130E3A">
        <w:rPr>
          <w:rFonts w:ascii="Calibri" w:hAnsi="Calibri" w:cs="Calibri"/>
        </w:rPr>
        <w:t>Debt securities are subject to the risk of default, downgrade or deterioration in the credit quality of the issuer.</w:t>
      </w:r>
    </w:p>
    <w:p w14:paraId="52916089" w14:textId="77777777" w:rsidR="0066179A" w:rsidRPr="00130E3A" w:rsidRDefault="00A16FA4">
      <w:pPr>
        <w:spacing w:after="120"/>
        <w:ind w:left="431"/>
        <w:rPr>
          <w:rFonts w:ascii="Calibri" w:hAnsi="Calibri" w:cs="Calibri"/>
        </w:rPr>
      </w:pPr>
      <w:r w:rsidRPr="00130E3A">
        <w:rPr>
          <w:rFonts w:ascii="Calibri" w:hAnsi="Calibri" w:cs="Calibri"/>
          <w:b/>
          <w:bCs/>
        </w:rPr>
        <w:t xml:space="preserve">• Liquidity Risk: </w:t>
      </w:r>
      <w:r w:rsidRPr="00130E3A">
        <w:rPr>
          <w:rFonts w:ascii="Calibri" w:hAnsi="Calibri" w:cs="Calibri"/>
        </w:rPr>
        <w:t>Securities, including equity, debt and unlisted instruments, may not always be readily marketable, particularly during adverse or stressed market conditions.</w:t>
      </w:r>
    </w:p>
    <w:p w14:paraId="5291608A" w14:textId="77777777" w:rsidR="0066179A" w:rsidRPr="00130E3A" w:rsidRDefault="00A16FA4">
      <w:pPr>
        <w:spacing w:after="120"/>
        <w:ind w:left="431"/>
        <w:rPr>
          <w:rFonts w:ascii="Calibri" w:hAnsi="Calibri" w:cs="Calibri"/>
        </w:rPr>
      </w:pPr>
      <w:r w:rsidRPr="00130E3A">
        <w:rPr>
          <w:rFonts w:ascii="Calibri" w:hAnsi="Calibri" w:cs="Calibri"/>
          <w:b/>
          <w:bCs/>
        </w:rPr>
        <w:t xml:space="preserve">• Derivative Risk: </w:t>
      </w:r>
      <w:r w:rsidRPr="00130E3A">
        <w:rPr>
          <w:rFonts w:ascii="Calibri" w:hAnsi="Calibri" w:cs="Calibri"/>
        </w:rPr>
        <w:t>Derivative transactions used for hedging, portfolio balancing or arbitrage may involve leverage, valuation, liquidity, settlement and counterparty risks.</w:t>
      </w:r>
    </w:p>
    <w:p w14:paraId="5291608B" w14:textId="77777777" w:rsidR="0066179A" w:rsidRPr="00130E3A" w:rsidRDefault="00A16FA4">
      <w:pPr>
        <w:spacing w:after="120"/>
        <w:ind w:left="431"/>
        <w:rPr>
          <w:rFonts w:ascii="Calibri" w:hAnsi="Calibri" w:cs="Calibri"/>
        </w:rPr>
      </w:pPr>
      <w:r w:rsidRPr="00130E3A">
        <w:rPr>
          <w:rFonts w:ascii="Calibri" w:hAnsi="Calibri" w:cs="Calibri"/>
          <w:b/>
          <w:bCs/>
        </w:rPr>
        <w:t xml:space="preserve">• Covered Call Writing Risk: </w:t>
      </w:r>
      <w:r w:rsidRPr="00130E3A">
        <w:rPr>
          <w:rFonts w:ascii="Calibri" w:hAnsi="Calibri" w:cs="Calibri"/>
        </w:rPr>
        <w:t>Where the Scheme writes covered call options, upside participation is capped at the strike price plus premium received, while downside is cushioned only to the extent of the premium.</w:t>
      </w:r>
    </w:p>
    <w:p w14:paraId="5291608C" w14:textId="77777777" w:rsidR="0066179A" w:rsidRPr="00130E3A" w:rsidRDefault="00A16FA4">
      <w:pPr>
        <w:spacing w:after="120"/>
        <w:ind w:left="431"/>
        <w:rPr>
          <w:rFonts w:ascii="Calibri" w:hAnsi="Calibri" w:cs="Calibri"/>
        </w:rPr>
      </w:pPr>
      <w:r w:rsidRPr="00130E3A">
        <w:rPr>
          <w:rFonts w:ascii="Calibri" w:hAnsi="Calibri" w:cs="Calibri"/>
          <w:b/>
          <w:bCs/>
        </w:rPr>
        <w:t xml:space="preserve">• Short Selling &amp; Securities Lending Risk: </w:t>
      </w:r>
      <w:r w:rsidRPr="00130E3A">
        <w:rPr>
          <w:rFonts w:ascii="Calibri" w:hAnsi="Calibri" w:cs="Calibri"/>
        </w:rPr>
        <w:t>Short selling and securities lending expose the Scheme to counterparty risk and to the risk that a borrowed/short-sold security becomes illiquid or must be covered at an adverse price.</w:t>
      </w:r>
    </w:p>
    <w:p w14:paraId="5291608D" w14:textId="77777777" w:rsidR="0066179A" w:rsidRPr="00130E3A" w:rsidRDefault="00A16FA4">
      <w:pPr>
        <w:spacing w:after="120"/>
        <w:ind w:left="431"/>
        <w:rPr>
          <w:rFonts w:ascii="Calibri" w:hAnsi="Calibri" w:cs="Calibri"/>
        </w:rPr>
      </w:pPr>
      <w:r w:rsidRPr="00130E3A">
        <w:rPr>
          <w:rFonts w:ascii="Calibri" w:hAnsi="Calibri" w:cs="Calibri"/>
          <w:b/>
          <w:bCs/>
        </w:rPr>
        <w:t xml:space="preserve">• Foreign Securities Risk: </w:t>
      </w:r>
      <w:r w:rsidRPr="00130E3A">
        <w:rPr>
          <w:rFonts w:ascii="Calibri" w:hAnsi="Calibri" w:cs="Calibri"/>
        </w:rPr>
        <w:t>Should the Scheme invest in foreign securities (subject to necessary approvals), it would be exposed to currency risk, overseas market/regulatory risk and repatriation risk.</w:t>
      </w:r>
    </w:p>
    <w:p w14:paraId="5291608E" w14:textId="77777777" w:rsidR="0066179A" w:rsidRPr="00130E3A" w:rsidRDefault="00A16FA4">
      <w:pPr>
        <w:spacing w:after="120"/>
        <w:ind w:left="431"/>
        <w:rPr>
          <w:rFonts w:ascii="Calibri" w:hAnsi="Calibri" w:cs="Calibri"/>
        </w:rPr>
      </w:pPr>
      <w:r w:rsidRPr="00130E3A">
        <w:rPr>
          <w:rFonts w:ascii="Calibri" w:hAnsi="Calibri" w:cs="Calibri"/>
          <w:b/>
          <w:bCs/>
        </w:rPr>
        <w:t xml:space="preserve">• Concentration Risk: </w:t>
      </w:r>
      <w:r w:rsidRPr="00130E3A">
        <w:rPr>
          <w:rFonts w:ascii="Calibri" w:hAnsi="Calibri" w:cs="Calibri"/>
        </w:rPr>
        <w:t>Concentration in particular securities, sectors or issuers may increase portfolio volatility and risk.</w:t>
      </w:r>
    </w:p>
    <w:p w14:paraId="5291608F" w14:textId="3C31ED84" w:rsidR="0066179A" w:rsidRPr="00130E3A" w:rsidRDefault="00A16FA4">
      <w:pPr>
        <w:pStyle w:val="Heading1"/>
        <w:spacing w:before="240" w:after="120"/>
        <w:rPr>
          <w:rFonts w:ascii="Calibri" w:hAnsi="Calibri" w:cs="Calibri"/>
          <w:sz w:val="20"/>
          <w:szCs w:val="20"/>
        </w:rPr>
      </w:pPr>
      <w:r w:rsidRPr="00130E3A">
        <w:rPr>
          <w:rFonts w:ascii="Calibri" w:hAnsi="Calibri" w:cs="Calibri"/>
          <w:b/>
          <w:bCs/>
          <w:sz w:val="20"/>
          <w:szCs w:val="20"/>
        </w:rPr>
        <w:t>Section B — Detailed Risk Factors</w:t>
      </w:r>
    </w:p>
    <w:p w14:paraId="52916091" w14:textId="77777777" w:rsidR="0066179A" w:rsidRPr="00130E3A" w:rsidRDefault="00A16FA4">
      <w:pPr>
        <w:spacing w:before="200" w:after="100"/>
        <w:rPr>
          <w:rFonts w:ascii="Calibri" w:hAnsi="Calibri" w:cs="Calibri"/>
        </w:rPr>
      </w:pPr>
      <w:r w:rsidRPr="00130E3A">
        <w:rPr>
          <w:rFonts w:ascii="Calibri" w:hAnsi="Calibri" w:cs="Calibri"/>
          <w:b/>
          <w:bCs/>
          <w:i/>
          <w:iCs/>
        </w:rPr>
        <w:t>1. Scheme-Level / General Risk Factors</w:t>
      </w:r>
    </w:p>
    <w:p w14:paraId="52916092" w14:textId="77777777" w:rsidR="0066179A" w:rsidRPr="00130E3A" w:rsidRDefault="00A16FA4">
      <w:pPr>
        <w:spacing w:after="120"/>
        <w:ind w:left="431"/>
        <w:rPr>
          <w:rFonts w:ascii="Calibri" w:hAnsi="Calibri" w:cs="Calibri"/>
        </w:rPr>
      </w:pPr>
      <w:r w:rsidRPr="00130E3A">
        <w:rPr>
          <w:rFonts w:ascii="Calibri" w:hAnsi="Calibri" w:cs="Calibri"/>
        </w:rPr>
        <w:t>• Performance may be affected by corporate performance, macro-economic factors, changes in Government policies, prevailing interest-rate levels, and risks associated with trading volumes, liquidity and settlement systems in the securities markets.</w:t>
      </w:r>
    </w:p>
    <w:p w14:paraId="52916093" w14:textId="77777777" w:rsidR="0066179A" w:rsidRPr="00130E3A" w:rsidRDefault="00A16FA4">
      <w:pPr>
        <w:spacing w:after="120"/>
        <w:ind w:left="431"/>
        <w:rPr>
          <w:rFonts w:ascii="Calibri" w:hAnsi="Calibri" w:cs="Calibri"/>
        </w:rPr>
      </w:pPr>
      <w:r w:rsidRPr="00130E3A">
        <w:rPr>
          <w:rFonts w:ascii="Calibri" w:hAnsi="Calibri" w:cs="Calibri"/>
        </w:rPr>
        <w:t>• Low trading volumes, settlement periods and transfer procedures may restrict liquidity of the Scheme's investments; extreme volatility may constrict trading volumes further. Changes in SEBI/RBI regulations may adversely affect liquidity. The Trustee, at its sole discretion, reserves the right to limit or withdraw sale, repurchase, redemption and/or switching of units temporarily or indefinitely under certain circumstances. The Scheme will retain certain investments in cash or cash equivalents for day-to-day liquidity needs.</w:t>
      </w:r>
    </w:p>
    <w:p w14:paraId="52916094" w14:textId="77777777" w:rsidR="0066179A" w:rsidRPr="00130E3A" w:rsidRDefault="00A16FA4">
      <w:pPr>
        <w:spacing w:before="200" w:after="100"/>
        <w:rPr>
          <w:rFonts w:ascii="Calibri" w:hAnsi="Calibri" w:cs="Calibri"/>
        </w:rPr>
      </w:pPr>
      <w:r w:rsidRPr="00130E3A">
        <w:rPr>
          <w:rFonts w:ascii="Calibri" w:hAnsi="Calibri" w:cs="Calibri"/>
          <w:b/>
          <w:bCs/>
          <w:i/>
          <w:iCs/>
        </w:rPr>
        <w:t>2. Risks Associated with Investments in Equities and Equity-Related Instruments</w:t>
      </w:r>
    </w:p>
    <w:p w14:paraId="52916095" w14:textId="77777777" w:rsidR="0066179A" w:rsidRPr="00130E3A" w:rsidRDefault="00A16FA4">
      <w:pPr>
        <w:spacing w:after="120"/>
        <w:ind w:left="431"/>
        <w:rPr>
          <w:rFonts w:ascii="Calibri" w:hAnsi="Calibri" w:cs="Calibri"/>
        </w:rPr>
      </w:pPr>
      <w:r w:rsidRPr="00130E3A">
        <w:rPr>
          <w:rFonts w:ascii="Calibri" w:hAnsi="Calibri" w:cs="Calibri"/>
          <w:b/>
          <w:bCs/>
        </w:rPr>
        <w:t xml:space="preserve">• General Market/Company Risk: </w:t>
      </w:r>
      <w:r w:rsidRPr="00130E3A">
        <w:rPr>
          <w:rFonts w:ascii="Calibri" w:hAnsi="Calibri" w:cs="Calibri"/>
        </w:rPr>
        <w:t>Equity investment carries both company-specific and market risk; investors should not invest unless able to bear the risk of loss. The Scheme seeks to generate capital appreciation while using debt and money-market instruments defensively.</w:t>
      </w:r>
    </w:p>
    <w:p w14:paraId="52916096" w14:textId="77777777" w:rsidR="0066179A" w:rsidRPr="00130E3A" w:rsidRDefault="00A16FA4">
      <w:pPr>
        <w:spacing w:after="120"/>
        <w:ind w:left="431"/>
        <w:rPr>
          <w:rFonts w:ascii="Calibri" w:hAnsi="Calibri" w:cs="Calibri"/>
        </w:rPr>
      </w:pPr>
      <w:r w:rsidRPr="00130E3A">
        <w:rPr>
          <w:rFonts w:ascii="Calibri" w:hAnsi="Calibri" w:cs="Calibri"/>
          <w:b/>
          <w:bCs/>
        </w:rPr>
        <w:t xml:space="preserve">• Price Fluctuation Risk: </w:t>
      </w:r>
      <w:r w:rsidRPr="00130E3A">
        <w:rPr>
          <w:rFonts w:ascii="Calibri" w:hAnsi="Calibri" w:cs="Calibri"/>
        </w:rPr>
        <w:t>Values may fluctuate due to volume and volatility in capital markets, interest rates, currency exchange rates, changes in Government law/policy, taxation, and political, economic or other developments affecting individual securities, a sector, or all sectors, thereby adversely affecting NAV.</w:t>
      </w:r>
    </w:p>
    <w:p w14:paraId="52916097" w14:textId="77777777" w:rsidR="0066179A" w:rsidRPr="00130E3A" w:rsidRDefault="00A16FA4">
      <w:pPr>
        <w:spacing w:after="120"/>
        <w:ind w:left="431"/>
        <w:rPr>
          <w:rFonts w:ascii="Calibri" w:hAnsi="Calibri" w:cs="Calibri"/>
        </w:rPr>
      </w:pPr>
      <w:r w:rsidRPr="00130E3A">
        <w:rPr>
          <w:rFonts w:ascii="Calibri" w:hAnsi="Calibri" w:cs="Calibri"/>
          <w:b/>
          <w:bCs/>
        </w:rPr>
        <w:lastRenderedPageBreak/>
        <w:t xml:space="preserve">• Liquidity Risk (Listed Securities): </w:t>
      </w:r>
      <w:r w:rsidRPr="00130E3A">
        <w:rPr>
          <w:rFonts w:ascii="Calibri" w:hAnsi="Calibri" w:cs="Calibri"/>
        </w:rPr>
        <w:t>Even listed equity carries lower, but not negligible, liquidity risk, since the Scheme's ability to sell is limited by overall exchange trading volumes; settlement periods may be extended by unforeseen circumstances, potentially causing the Scheme to miss purchase opportunities or realise losses on forced sales.</w:t>
      </w:r>
    </w:p>
    <w:p w14:paraId="52916098" w14:textId="77777777" w:rsidR="0066179A" w:rsidRPr="00130E3A" w:rsidRDefault="00A16FA4">
      <w:pPr>
        <w:spacing w:after="120"/>
        <w:ind w:left="431"/>
        <w:rPr>
          <w:rFonts w:ascii="Calibri" w:hAnsi="Calibri" w:cs="Calibri"/>
        </w:rPr>
      </w:pPr>
      <w:r w:rsidRPr="00130E3A">
        <w:rPr>
          <w:rFonts w:ascii="Calibri" w:hAnsi="Calibri" w:cs="Calibri"/>
          <w:b/>
          <w:bCs/>
        </w:rPr>
        <w:t xml:space="preserve">• Unlisted Securities Risk: </w:t>
      </w:r>
      <w:r w:rsidRPr="00130E3A">
        <w:rPr>
          <w:rFonts w:ascii="Calibri" w:hAnsi="Calibri" w:cs="Calibri"/>
        </w:rPr>
        <w:t>Securities not listed on stock exchanges are inherently illiquid and carry higher liquidity risk than listed securities; the liquidity and valuation of such holdings may be adversely affected if they must be sold before the intended disinvestment date.</w:t>
      </w:r>
    </w:p>
    <w:p w14:paraId="52916099" w14:textId="77777777" w:rsidR="0066179A" w:rsidRPr="00130E3A" w:rsidRDefault="00A16FA4">
      <w:pPr>
        <w:spacing w:before="200" w:after="100"/>
        <w:rPr>
          <w:rFonts w:ascii="Calibri" w:hAnsi="Calibri" w:cs="Calibri"/>
        </w:rPr>
      </w:pPr>
      <w:r w:rsidRPr="00130E3A">
        <w:rPr>
          <w:rFonts w:ascii="Calibri" w:hAnsi="Calibri" w:cs="Calibri"/>
          <w:b/>
          <w:bCs/>
          <w:i/>
          <w:iCs/>
        </w:rPr>
        <w:t>3. Risks Associated with Fixed Income Securities</w:t>
      </w:r>
    </w:p>
    <w:p w14:paraId="5291609A" w14:textId="77777777" w:rsidR="0066179A" w:rsidRPr="00130E3A" w:rsidRDefault="00A16FA4">
      <w:pPr>
        <w:spacing w:after="120"/>
        <w:ind w:left="431"/>
        <w:rPr>
          <w:rFonts w:ascii="Calibri" w:hAnsi="Calibri" w:cs="Calibri"/>
        </w:rPr>
      </w:pPr>
      <w:r w:rsidRPr="00130E3A">
        <w:rPr>
          <w:rFonts w:ascii="Calibri" w:hAnsi="Calibri" w:cs="Calibri"/>
          <w:b/>
          <w:bCs/>
        </w:rPr>
        <w:t xml:space="preserve">• Interest-Rate Risk: </w:t>
      </w:r>
      <w:r w:rsidRPr="00130E3A">
        <w:rPr>
          <w:rFonts w:ascii="Calibri" w:hAnsi="Calibri" w:cs="Calibri"/>
        </w:rPr>
        <w:t>Government bonds, corporate bonds, money-market instruments and derivatives carry price/interest-rate risk — prices of existing fixed income securities generally fall when interest rates rise, and rise when rates fall, the magnitude depending on coupon, maturity and prevailing trading levels.</w:t>
      </w:r>
    </w:p>
    <w:p w14:paraId="5291609B" w14:textId="77777777" w:rsidR="0066179A" w:rsidRPr="00130E3A" w:rsidRDefault="00A16FA4">
      <w:pPr>
        <w:spacing w:after="120"/>
        <w:ind w:left="431"/>
        <w:rPr>
          <w:rFonts w:ascii="Calibri" w:hAnsi="Calibri" w:cs="Calibri"/>
        </w:rPr>
      </w:pPr>
      <w:r w:rsidRPr="00130E3A">
        <w:rPr>
          <w:rFonts w:ascii="Calibri" w:hAnsi="Calibri" w:cs="Calibri"/>
          <w:b/>
          <w:bCs/>
        </w:rPr>
        <w:t xml:space="preserve">• Re-investment Risk: </w:t>
      </w:r>
      <w:r w:rsidRPr="00130E3A">
        <w:rPr>
          <w:rFonts w:ascii="Calibri" w:hAnsi="Calibri" w:cs="Calibri"/>
        </w:rPr>
        <w:t>Coupon or maturity proceeds may need to be reinvested at rates lower than the original coupon of the instrument.</w:t>
      </w:r>
    </w:p>
    <w:p w14:paraId="5291609C" w14:textId="77777777" w:rsidR="0066179A" w:rsidRPr="00130E3A" w:rsidRDefault="00A16FA4">
      <w:pPr>
        <w:spacing w:after="120"/>
        <w:ind w:left="431"/>
        <w:rPr>
          <w:rFonts w:ascii="Calibri" w:hAnsi="Calibri" w:cs="Calibri"/>
        </w:rPr>
      </w:pPr>
      <w:r w:rsidRPr="00130E3A">
        <w:rPr>
          <w:rFonts w:ascii="Calibri" w:hAnsi="Calibri" w:cs="Calibri"/>
          <w:b/>
          <w:bCs/>
        </w:rPr>
        <w:t xml:space="preserve">• Basis Risk: </w:t>
      </w:r>
      <w:r w:rsidRPr="00130E3A">
        <w:rPr>
          <w:rFonts w:ascii="Calibri" w:hAnsi="Calibri" w:cs="Calibri"/>
        </w:rPr>
        <w:t>The benchmark underlying a floating-rate security or swap may become inactive or cease to exist, impairing its ability to track actual interest-rate movements and causing loss of portfolio value.</w:t>
      </w:r>
    </w:p>
    <w:p w14:paraId="5291609D" w14:textId="77777777" w:rsidR="0066179A" w:rsidRPr="00130E3A" w:rsidRDefault="00A16FA4">
      <w:pPr>
        <w:spacing w:after="120"/>
        <w:ind w:left="431"/>
        <w:rPr>
          <w:rFonts w:ascii="Calibri" w:hAnsi="Calibri" w:cs="Calibri"/>
        </w:rPr>
      </w:pPr>
      <w:r w:rsidRPr="00130E3A">
        <w:rPr>
          <w:rFonts w:ascii="Calibri" w:hAnsi="Calibri" w:cs="Calibri"/>
          <w:b/>
          <w:bCs/>
        </w:rPr>
        <w:t xml:space="preserve">• Spread Risk: </w:t>
      </w:r>
      <w:r w:rsidRPr="00130E3A">
        <w:rPr>
          <w:rFonts w:ascii="Calibri" w:hAnsi="Calibri" w:cs="Calibri"/>
        </w:rPr>
        <w:t>In floating-rate securities, the spread over the benchmark may move adversely even if the benchmark itself is unchanged, causing a loss in security value.</w:t>
      </w:r>
    </w:p>
    <w:p w14:paraId="5291609E" w14:textId="77777777" w:rsidR="0066179A" w:rsidRPr="00130E3A" w:rsidRDefault="00A16FA4">
      <w:pPr>
        <w:spacing w:after="120"/>
        <w:ind w:left="431"/>
        <w:rPr>
          <w:rFonts w:ascii="Calibri" w:hAnsi="Calibri" w:cs="Calibri"/>
        </w:rPr>
      </w:pPr>
      <w:r w:rsidRPr="00130E3A">
        <w:rPr>
          <w:rFonts w:ascii="Calibri" w:hAnsi="Calibri" w:cs="Calibri"/>
          <w:b/>
          <w:bCs/>
        </w:rPr>
        <w:t xml:space="preserve">• Liquidity Risk (Debt): </w:t>
      </w:r>
      <w:r w:rsidRPr="00130E3A">
        <w:rPr>
          <w:rFonts w:ascii="Calibri" w:hAnsi="Calibri" w:cs="Calibri"/>
        </w:rPr>
        <w:t>Bond liquidity can change with market conditions; a security may become illiquid at the point of sale, resulting in a loss of portfolio value.</w:t>
      </w:r>
    </w:p>
    <w:p w14:paraId="5291609F" w14:textId="77777777" w:rsidR="0066179A" w:rsidRPr="00130E3A" w:rsidRDefault="00A16FA4">
      <w:pPr>
        <w:spacing w:after="120"/>
        <w:ind w:left="431"/>
        <w:rPr>
          <w:rFonts w:ascii="Calibri" w:hAnsi="Calibri" w:cs="Calibri"/>
        </w:rPr>
      </w:pPr>
      <w:r w:rsidRPr="00130E3A">
        <w:rPr>
          <w:rFonts w:ascii="Calibri" w:hAnsi="Calibri" w:cs="Calibri"/>
          <w:b/>
          <w:bCs/>
        </w:rPr>
        <w:t xml:space="preserve">• Credit Risk: </w:t>
      </w:r>
      <w:r w:rsidRPr="00130E3A">
        <w:rPr>
          <w:rFonts w:ascii="Calibri" w:hAnsi="Calibri" w:cs="Calibri"/>
        </w:rPr>
        <w:t>Risk that an issuer of a debenture, bond or money-market instrument defaults on coupon or principal payments; even absent default, price may change with rating actions. Government securities are the safest; corporate bonds carry more credit risk, with risk varying by rating within corporate bonds.</w:t>
      </w:r>
    </w:p>
    <w:p w14:paraId="529160A0" w14:textId="77777777" w:rsidR="0066179A" w:rsidRPr="00130E3A" w:rsidRDefault="00A16FA4">
      <w:pPr>
        <w:spacing w:after="120"/>
        <w:ind w:left="431"/>
        <w:rPr>
          <w:rFonts w:ascii="Calibri" w:hAnsi="Calibri" w:cs="Calibri"/>
        </w:rPr>
      </w:pPr>
      <w:r w:rsidRPr="00130E3A">
        <w:rPr>
          <w:rFonts w:ascii="Calibri" w:hAnsi="Calibri" w:cs="Calibri"/>
          <w:b/>
          <w:bCs/>
        </w:rPr>
        <w:t xml:space="preserve">• Liquidity Risk — Unlisted Securities: </w:t>
      </w:r>
      <w:r w:rsidRPr="00130E3A">
        <w:rPr>
          <w:rFonts w:ascii="Calibri" w:hAnsi="Calibri" w:cs="Calibri"/>
        </w:rPr>
        <w:t>Valuation and liquidity of unlisted debt holdings may be affected if sold before the intended divestment date, potentially causing losses.</w:t>
      </w:r>
    </w:p>
    <w:p w14:paraId="529160A1" w14:textId="77777777" w:rsidR="0066179A" w:rsidRPr="00130E3A" w:rsidRDefault="00A16FA4">
      <w:pPr>
        <w:spacing w:after="120"/>
        <w:ind w:left="431"/>
        <w:rPr>
          <w:rFonts w:ascii="Calibri" w:hAnsi="Calibri" w:cs="Calibri"/>
        </w:rPr>
      </w:pPr>
      <w:r w:rsidRPr="00130E3A">
        <w:rPr>
          <w:rFonts w:ascii="Calibri" w:hAnsi="Calibri" w:cs="Calibri"/>
          <w:b/>
          <w:bCs/>
        </w:rPr>
        <w:t xml:space="preserve">• Settlement Risk: </w:t>
      </w:r>
      <w:r w:rsidRPr="00130E3A">
        <w:rPr>
          <w:rFonts w:ascii="Calibri" w:hAnsi="Calibri" w:cs="Calibri"/>
        </w:rPr>
        <w:t>Fixed income securities carry settlement risk, which can impair the fund house's ability to execute trading strategies promptly and can adversely move the NAV.</w:t>
      </w:r>
    </w:p>
    <w:p w14:paraId="529160A2" w14:textId="77777777" w:rsidR="0066179A" w:rsidRPr="00130E3A" w:rsidRDefault="00A16FA4">
      <w:pPr>
        <w:spacing w:before="200" w:after="100"/>
        <w:rPr>
          <w:rFonts w:ascii="Calibri" w:hAnsi="Calibri" w:cs="Calibri"/>
        </w:rPr>
      </w:pPr>
      <w:r w:rsidRPr="00130E3A">
        <w:rPr>
          <w:rFonts w:ascii="Calibri" w:hAnsi="Calibri" w:cs="Calibri"/>
          <w:b/>
          <w:bCs/>
          <w:i/>
          <w:iCs/>
        </w:rPr>
        <w:t>4. Risks Associated with Investing in Derivatives</w:t>
      </w:r>
    </w:p>
    <w:p w14:paraId="529160A3" w14:textId="77777777" w:rsidR="0066179A" w:rsidRPr="00130E3A" w:rsidRDefault="00A16FA4">
      <w:pPr>
        <w:spacing w:after="120"/>
        <w:ind w:left="431"/>
        <w:rPr>
          <w:rFonts w:ascii="Calibri" w:hAnsi="Calibri" w:cs="Calibri"/>
        </w:rPr>
      </w:pPr>
      <w:r w:rsidRPr="00130E3A">
        <w:rPr>
          <w:rFonts w:ascii="Calibri" w:hAnsi="Calibri" w:cs="Calibri"/>
          <w:b/>
          <w:bCs/>
        </w:rPr>
        <w:t xml:space="preserve">• Systematic/Market Risk: </w:t>
      </w:r>
      <w:r w:rsidRPr="00130E3A">
        <w:rPr>
          <w:rFonts w:ascii="Calibri" w:hAnsi="Calibri" w:cs="Calibri"/>
        </w:rPr>
        <w:t>Risk associated with the entire market rather than a specific security or sector, arising from macro-economic factors and news events.</w:t>
      </w:r>
    </w:p>
    <w:p w14:paraId="529160A4" w14:textId="77777777" w:rsidR="0066179A" w:rsidRPr="00130E3A" w:rsidRDefault="00A16FA4">
      <w:pPr>
        <w:spacing w:after="120"/>
        <w:ind w:left="431"/>
        <w:rPr>
          <w:rFonts w:ascii="Calibri" w:hAnsi="Calibri" w:cs="Calibri"/>
        </w:rPr>
      </w:pPr>
      <w:r w:rsidRPr="00130E3A">
        <w:rPr>
          <w:rFonts w:ascii="Calibri" w:hAnsi="Calibri" w:cs="Calibri"/>
          <w:b/>
          <w:bCs/>
        </w:rPr>
        <w:t xml:space="preserve">• Mark-to-Market Risk: </w:t>
      </w:r>
      <w:r w:rsidRPr="00130E3A">
        <w:rPr>
          <w:rFonts w:ascii="Calibri" w:hAnsi="Calibri" w:cs="Calibri"/>
        </w:rPr>
        <w:t>Day-to-day fluctuations in the underlying security and its derivative can adversely affect the portfolio.</w:t>
      </w:r>
    </w:p>
    <w:p w14:paraId="529160A5" w14:textId="77777777" w:rsidR="0066179A" w:rsidRPr="00130E3A" w:rsidRDefault="00A16FA4">
      <w:pPr>
        <w:spacing w:after="120"/>
        <w:ind w:left="431"/>
        <w:rPr>
          <w:rFonts w:ascii="Calibri" w:hAnsi="Calibri" w:cs="Calibri"/>
        </w:rPr>
      </w:pPr>
      <w:r w:rsidRPr="00130E3A">
        <w:rPr>
          <w:rFonts w:ascii="Calibri" w:hAnsi="Calibri" w:cs="Calibri"/>
          <w:b/>
          <w:bCs/>
        </w:rPr>
        <w:t xml:space="preserve">• Credit (Counterparty) Risk: </w:t>
      </w:r>
      <w:r w:rsidRPr="00130E3A">
        <w:rPr>
          <w:rFonts w:ascii="Calibri" w:hAnsi="Calibri" w:cs="Calibri"/>
        </w:rPr>
        <w:t>Risk that a derivative counterparty defaults on its obligations; generally small since derivative transactions typically do not involve exchange of principal.</w:t>
      </w:r>
    </w:p>
    <w:p w14:paraId="529160A6" w14:textId="77777777" w:rsidR="0066179A" w:rsidRPr="00130E3A" w:rsidRDefault="00A16FA4">
      <w:pPr>
        <w:spacing w:after="120"/>
        <w:ind w:left="431"/>
        <w:rPr>
          <w:rFonts w:ascii="Calibri" w:hAnsi="Calibri" w:cs="Calibri"/>
        </w:rPr>
      </w:pPr>
      <w:r w:rsidRPr="00130E3A">
        <w:rPr>
          <w:rFonts w:ascii="Calibri" w:hAnsi="Calibri" w:cs="Calibri"/>
          <w:b/>
          <w:bCs/>
        </w:rPr>
        <w:t xml:space="preserve">• Interest Rate Risk: </w:t>
      </w:r>
      <w:r w:rsidRPr="00130E3A">
        <w:rPr>
          <w:rFonts w:ascii="Calibri" w:hAnsi="Calibri" w:cs="Calibri"/>
        </w:rPr>
        <w:t>Derivatives carry the risk of adverse price changes arising from movements in interest rates.</w:t>
      </w:r>
    </w:p>
    <w:p w14:paraId="529160A7" w14:textId="77777777" w:rsidR="0066179A" w:rsidRPr="00130E3A" w:rsidRDefault="00A16FA4">
      <w:pPr>
        <w:spacing w:after="120"/>
        <w:ind w:left="431"/>
        <w:rPr>
          <w:rFonts w:ascii="Calibri" w:hAnsi="Calibri" w:cs="Calibri"/>
        </w:rPr>
      </w:pPr>
      <w:r w:rsidRPr="00130E3A">
        <w:rPr>
          <w:rFonts w:ascii="Calibri" w:hAnsi="Calibri" w:cs="Calibri"/>
          <w:b/>
          <w:bCs/>
        </w:rPr>
        <w:t xml:space="preserve">• Basis Risk: </w:t>
      </w:r>
      <w:r w:rsidRPr="00130E3A">
        <w:rPr>
          <w:rFonts w:ascii="Calibri" w:hAnsi="Calibri" w:cs="Calibri"/>
        </w:rPr>
        <w:t>Where a security is hedged using a derivative, price changes in the security and the derivative may not be fully correlated.</w:t>
      </w:r>
    </w:p>
    <w:p w14:paraId="529160A8" w14:textId="77777777" w:rsidR="0066179A" w:rsidRPr="00130E3A" w:rsidRDefault="00A16FA4">
      <w:pPr>
        <w:spacing w:after="120"/>
        <w:ind w:left="431"/>
        <w:rPr>
          <w:rFonts w:ascii="Calibri" w:hAnsi="Calibri" w:cs="Calibri"/>
        </w:rPr>
      </w:pPr>
      <w:r w:rsidRPr="00130E3A">
        <w:rPr>
          <w:rFonts w:ascii="Calibri" w:hAnsi="Calibri" w:cs="Calibri"/>
          <w:b/>
          <w:bCs/>
        </w:rPr>
        <w:t xml:space="preserve">• Liquidity Risk: </w:t>
      </w:r>
      <w:r w:rsidRPr="00130E3A">
        <w:rPr>
          <w:rFonts w:ascii="Calibri" w:hAnsi="Calibri" w:cs="Calibri"/>
        </w:rPr>
        <w:t>The benchmark underlying a derivative may become illiquid during its life, or unwinding/selling prices may not reflect the underlying assets, rates or indices, causing loss of value.</w:t>
      </w:r>
    </w:p>
    <w:p w14:paraId="529160A9" w14:textId="77777777" w:rsidR="0066179A" w:rsidRPr="00130E3A" w:rsidRDefault="00A16FA4">
      <w:pPr>
        <w:spacing w:after="120"/>
        <w:ind w:left="431"/>
        <w:rPr>
          <w:rFonts w:ascii="Calibri" w:hAnsi="Calibri" w:cs="Calibri"/>
        </w:rPr>
      </w:pPr>
      <w:r w:rsidRPr="00130E3A">
        <w:rPr>
          <w:rFonts w:ascii="Calibri" w:hAnsi="Calibri" w:cs="Calibri"/>
          <w:b/>
          <w:bCs/>
        </w:rPr>
        <w:t xml:space="preserve">• Model Risk: </w:t>
      </w:r>
      <w:r w:rsidRPr="00130E3A">
        <w:rPr>
          <w:rFonts w:ascii="Calibri" w:hAnsi="Calibri" w:cs="Calibri"/>
        </w:rPr>
        <w:t>Risk of mis-pricing or improper valuation of derivatives.</w:t>
      </w:r>
    </w:p>
    <w:p w14:paraId="529160AA" w14:textId="77777777" w:rsidR="0066179A" w:rsidRPr="00130E3A" w:rsidRDefault="00A16FA4">
      <w:pPr>
        <w:spacing w:after="120"/>
        <w:ind w:left="431"/>
        <w:rPr>
          <w:rFonts w:ascii="Calibri" w:hAnsi="Calibri" w:cs="Calibri"/>
        </w:rPr>
      </w:pPr>
      <w:r w:rsidRPr="00130E3A">
        <w:rPr>
          <w:rFonts w:ascii="Calibri" w:hAnsi="Calibri" w:cs="Calibri"/>
          <w:b/>
          <w:bCs/>
        </w:rPr>
        <w:t xml:space="preserve">• Trade Execution Risk: </w:t>
      </w:r>
      <w:r w:rsidRPr="00130E3A">
        <w:rPr>
          <w:rFonts w:ascii="Calibri" w:hAnsi="Calibri" w:cs="Calibri"/>
        </w:rPr>
        <w:t>Risk that the final execution price differs from the screen price, diluting spreads and affecting the profitability of arbitrage strategies.</w:t>
      </w:r>
    </w:p>
    <w:p w14:paraId="529160AB" w14:textId="77777777" w:rsidR="0066179A" w:rsidRPr="00130E3A" w:rsidRDefault="00A16FA4">
      <w:pPr>
        <w:spacing w:after="120"/>
        <w:ind w:left="431"/>
        <w:rPr>
          <w:rFonts w:ascii="Calibri" w:hAnsi="Calibri" w:cs="Calibri"/>
        </w:rPr>
      </w:pPr>
      <w:r w:rsidRPr="00130E3A">
        <w:rPr>
          <w:rFonts w:ascii="Calibri" w:hAnsi="Calibri" w:cs="Calibri"/>
          <w:b/>
          <w:bCs/>
        </w:rPr>
        <w:lastRenderedPageBreak/>
        <w:t xml:space="preserve">• Systemic Risk: </w:t>
      </w:r>
      <w:r w:rsidRPr="00130E3A">
        <w:rPr>
          <w:rFonts w:ascii="Calibri" w:hAnsi="Calibri" w:cs="Calibri"/>
        </w:rPr>
        <w:t>For OTC derivatives in particular, failure of one counterparty can place the whole system at risk.</w:t>
      </w:r>
    </w:p>
    <w:p w14:paraId="529160AC" w14:textId="77777777" w:rsidR="0066179A" w:rsidRPr="00130E3A" w:rsidRDefault="00A16FA4">
      <w:pPr>
        <w:spacing w:after="120"/>
        <w:ind w:left="431"/>
        <w:rPr>
          <w:rFonts w:ascii="Calibri" w:hAnsi="Calibri" w:cs="Calibri"/>
        </w:rPr>
      </w:pPr>
      <w:r w:rsidRPr="00130E3A">
        <w:rPr>
          <w:rFonts w:ascii="Calibri" w:hAnsi="Calibri" w:cs="Calibri"/>
          <w:b/>
          <w:bCs/>
        </w:rPr>
        <w:t xml:space="preserve">• Leverage Risk: </w:t>
      </w:r>
      <w:r w:rsidRPr="00130E3A">
        <w:rPr>
          <w:rFonts w:ascii="Calibri" w:hAnsi="Calibri" w:cs="Calibri"/>
        </w:rPr>
        <w:t>Derivatives are highly leveraged; a small price movement in the underlying can have a disproportionately large impact on value, leading to gains or losses greater than those from direct investment. Execution success depends on the fund manager's ability to identify and time opportunities correctly, which cannot be assured.</w:t>
      </w:r>
    </w:p>
    <w:p w14:paraId="529160AD" w14:textId="77777777" w:rsidR="0066179A" w:rsidRPr="00130E3A" w:rsidRDefault="00A16FA4">
      <w:pPr>
        <w:spacing w:before="200" w:after="100"/>
        <w:rPr>
          <w:rFonts w:ascii="Calibri" w:hAnsi="Calibri" w:cs="Calibri"/>
        </w:rPr>
      </w:pPr>
      <w:r w:rsidRPr="00130E3A">
        <w:rPr>
          <w:rFonts w:ascii="Calibri" w:hAnsi="Calibri" w:cs="Calibri"/>
          <w:b/>
          <w:bCs/>
          <w:i/>
          <w:iCs/>
        </w:rPr>
        <w:t>5. Risks Associated with Short Selling and Securities Lending</w:t>
      </w:r>
    </w:p>
    <w:p w14:paraId="529160AE" w14:textId="77777777" w:rsidR="0066179A" w:rsidRPr="00130E3A" w:rsidRDefault="00A16FA4">
      <w:pPr>
        <w:spacing w:after="120"/>
        <w:ind w:left="431"/>
        <w:rPr>
          <w:rFonts w:ascii="Calibri" w:hAnsi="Calibri" w:cs="Calibri"/>
        </w:rPr>
      </w:pPr>
      <w:r w:rsidRPr="00130E3A">
        <w:rPr>
          <w:rFonts w:ascii="Calibri" w:hAnsi="Calibri" w:cs="Calibri"/>
          <w:b/>
          <w:bCs/>
        </w:rPr>
        <w:t xml:space="preserve">• Securities Lending Risk: </w:t>
      </w:r>
      <w:r w:rsidRPr="00130E3A">
        <w:rPr>
          <w:rFonts w:ascii="Calibri" w:hAnsi="Calibri" w:cs="Calibri"/>
        </w:rPr>
        <w:t>Lending of securities through an approved intermediary carries the risk of the counterparty failing to comply with the lending agreement, which could result in loss of rights to collateral, inability to recover the lent securities, and loss of corporate benefits accruing on them.</w:t>
      </w:r>
    </w:p>
    <w:p w14:paraId="529160AF" w14:textId="77777777" w:rsidR="0066179A" w:rsidRPr="00130E3A" w:rsidRDefault="00A16FA4">
      <w:pPr>
        <w:spacing w:after="120"/>
        <w:ind w:left="431"/>
        <w:rPr>
          <w:rFonts w:ascii="Calibri" w:hAnsi="Calibri" w:cs="Calibri"/>
        </w:rPr>
      </w:pPr>
      <w:r w:rsidRPr="00130E3A">
        <w:rPr>
          <w:rFonts w:ascii="Calibri" w:hAnsi="Calibri" w:cs="Calibri"/>
          <w:b/>
          <w:bCs/>
        </w:rPr>
        <w:t xml:space="preserve">• Short-Selling Risk: </w:t>
      </w:r>
      <w:r w:rsidRPr="00130E3A">
        <w:rPr>
          <w:rFonts w:ascii="Calibri" w:hAnsi="Calibri" w:cs="Calibri"/>
        </w:rPr>
        <w:t>In short selling, the Scheme sells borrowed securities and later buys them back to close the position. Key risks are counterparty risk and the liquidity risk of the borrowed security — the security may be or become illiquid, and covering the position may occur at a materially higher price than anticipated, causing losses.</w:t>
      </w:r>
    </w:p>
    <w:p w14:paraId="529160B0" w14:textId="77777777" w:rsidR="0066179A" w:rsidRPr="00130E3A" w:rsidRDefault="00A16FA4">
      <w:pPr>
        <w:spacing w:before="200" w:after="100"/>
        <w:rPr>
          <w:rFonts w:ascii="Calibri" w:hAnsi="Calibri" w:cs="Calibri"/>
        </w:rPr>
      </w:pPr>
      <w:r w:rsidRPr="00130E3A">
        <w:rPr>
          <w:rFonts w:ascii="Calibri" w:hAnsi="Calibri" w:cs="Calibri"/>
          <w:b/>
          <w:bCs/>
          <w:i/>
          <w:iCs/>
        </w:rPr>
        <w:t>6. Risk Factors Associated with Investments in Foreign Securities</w:t>
      </w:r>
    </w:p>
    <w:p w14:paraId="529160B1" w14:textId="77777777" w:rsidR="0066179A" w:rsidRPr="00130E3A" w:rsidRDefault="00A16FA4">
      <w:pPr>
        <w:spacing w:after="120"/>
        <w:ind w:left="431"/>
        <w:rPr>
          <w:rFonts w:ascii="Calibri" w:hAnsi="Calibri" w:cs="Calibri"/>
        </w:rPr>
      </w:pPr>
      <w:r w:rsidRPr="00130E3A">
        <w:rPr>
          <w:rFonts w:ascii="Calibri" w:hAnsi="Calibri" w:cs="Calibri"/>
          <w:b/>
          <w:bCs/>
        </w:rPr>
        <w:t xml:space="preserve">• Country/Political/Economic Risk: </w:t>
      </w:r>
      <w:r w:rsidRPr="00130E3A">
        <w:rPr>
          <w:rFonts w:ascii="Calibri" w:hAnsi="Calibri" w:cs="Calibri"/>
        </w:rPr>
        <w:t>Subject to necessary approvals, the Scheme may invest in overseas financial assets. Values may depend on global or country-specific economic and political factors affecting the foreign issuer.</w:t>
      </w:r>
    </w:p>
    <w:p w14:paraId="529160B2" w14:textId="77777777" w:rsidR="0066179A" w:rsidRPr="00130E3A" w:rsidRDefault="00A16FA4">
      <w:pPr>
        <w:spacing w:after="120"/>
        <w:ind w:left="431"/>
        <w:rPr>
          <w:rFonts w:ascii="Calibri" w:hAnsi="Calibri" w:cs="Calibri"/>
        </w:rPr>
      </w:pPr>
      <w:r w:rsidRPr="00130E3A">
        <w:rPr>
          <w:rFonts w:ascii="Calibri" w:hAnsi="Calibri" w:cs="Calibri"/>
          <w:b/>
          <w:bCs/>
        </w:rPr>
        <w:t xml:space="preserve">• Repatriation and Regulatory Risk: </w:t>
      </w:r>
      <w:r w:rsidRPr="00130E3A">
        <w:rPr>
          <w:rFonts w:ascii="Calibri" w:hAnsi="Calibri" w:cs="Calibri"/>
        </w:rPr>
        <w:t>Fluctuation in foreign exchange rates, restrictions on repatriation of capital and earnings under exchange-control regulations, and overseas transaction procedures may pose risk; repatriation may also be affected by changes in exchange-control regulation, political developments, bilateral conflicts or tax laws.</w:t>
      </w:r>
    </w:p>
    <w:p w14:paraId="529160B3" w14:textId="77777777" w:rsidR="0066179A" w:rsidRPr="00130E3A" w:rsidRDefault="00A16FA4">
      <w:pPr>
        <w:spacing w:after="120"/>
        <w:ind w:left="431"/>
        <w:rPr>
          <w:rFonts w:ascii="Calibri" w:hAnsi="Calibri" w:cs="Calibri"/>
        </w:rPr>
      </w:pPr>
      <w:r w:rsidRPr="00130E3A">
        <w:rPr>
          <w:rFonts w:ascii="Calibri" w:hAnsi="Calibri" w:cs="Calibri"/>
          <w:b/>
          <w:bCs/>
        </w:rPr>
        <w:t xml:space="preserve">• Benchmark Availability Risk: </w:t>
      </w:r>
      <w:r w:rsidRPr="00130E3A">
        <w:rPr>
          <w:rFonts w:ascii="Calibri" w:hAnsi="Calibri" w:cs="Calibri"/>
        </w:rPr>
        <w:t>Since the Scheme would invest only partially in foreign securities, a readily available and widely accepted benchmark to measure such performance may not exist.</w:t>
      </w:r>
    </w:p>
    <w:p w14:paraId="529160B4" w14:textId="77777777" w:rsidR="0066179A" w:rsidRPr="00130E3A" w:rsidRDefault="00A16FA4">
      <w:pPr>
        <w:spacing w:after="120"/>
        <w:ind w:left="431"/>
        <w:rPr>
          <w:rFonts w:ascii="Calibri" w:hAnsi="Calibri" w:cs="Calibri"/>
        </w:rPr>
      </w:pPr>
      <w:r w:rsidRPr="00130E3A">
        <w:rPr>
          <w:rFonts w:ascii="Calibri" w:hAnsi="Calibri" w:cs="Calibri"/>
          <w:b/>
          <w:bCs/>
        </w:rPr>
        <w:t xml:space="preserve">• Currency Risk: </w:t>
      </w:r>
      <w:r w:rsidRPr="00130E3A">
        <w:rPr>
          <w:rFonts w:ascii="Calibri" w:hAnsi="Calibri" w:cs="Calibri"/>
        </w:rPr>
        <w:t>Investment in foreign securities carries currency risk arising from the movement of one currency against another, driven by differential monetary policy, productivity growth and inflation rates.</w:t>
      </w:r>
    </w:p>
    <w:p w14:paraId="529160B5" w14:textId="77777777" w:rsidR="0066179A" w:rsidRPr="00130E3A" w:rsidRDefault="00A16FA4">
      <w:pPr>
        <w:spacing w:after="120"/>
        <w:ind w:left="431"/>
        <w:rPr>
          <w:rFonts w:ascii="Calibri" w:hAnsi="Calibri" w:cs="Calibri"/>
        </w:rPr>
      </w:pPr>
      <w:r w:rsidRPr="00130E3A">
        <w:rPr>
          <w:rFonts w:ascii="Calibri" w:hAnsi="Calibri" w:cs="Calibri"/>
          <w:b/>
          <w:bCs/>
        </w:rPr>
        <w:t xml:space="preserve">• Present Status: </w:t>
      </w:r>
      <w:r w:rsidRPr="00130E3A">
        <w:rPr>
          <w:rFonts w:ascii="Calibri" w:hAnsi="Calibri" w:cs="Calibri"/>
        </w:rPr>
        <w:t>The AMC does not presently have approval to invest in foreign securities and will seek the necessary SEBI/RBI approvals, appointing a dedicated fund manager before taking any foreign-securities exposure.</w:t>
      </w:r>
    </w:p>
    <w:p w14:paraId="529160B6" w14:textId="77777777" w:rsidR="0066179A" w:rsidRPr="00130E3A" w:rsidRDefault="00A16FA4">
      <w:pPr>
        <w:spacing w:before="200" w:after="100"/>
        <w:rPr>
          <w:rFonts w:ascii="Calibri" w:hAnsi="Calibri" w:cs="Calibri"/>
        </w:rPr>
      </w:pPr>
      <w:r w:rsidRPr="00130E3A">
        <w:rPr>
          <w:rFonts w:ascii="Calibri" w:hAnsi="Calibri" w:cs="Calibri"/>
          <w:b/>
          <w:bCs/>
          <w:i/>
          <w:iCs/>
        </w:rPr>
        <w:t>7. Risk Associated with Segregated Portfolio</w:t>
      </w:r>
    </w:p>
    <w:p w14:paraId="529160B7" w14:textId="77777777" w:rsidR="0066179A" w:rsidRPr="00130E3A" w:rsidRDefault="00A16FA4">
      <w:pPr>
        <w:spacing w:after="120"/>
        <w:ind w:left="431"/>
        <w:rPr>
          <w:rFonts w:ascii="Calibri" w:hAnsi="Calibri" w:cs="Calibri"/>
        </w:rPr>
      </w:pPr>
      <w:r w:rsidRPr="00130E3A">
        <w:rPr>
          <w:rFonts w:ascii="Calibri" w:hAnsi="Calibri" w:cs="Calibri"/>
        </w:rPr>
        <w:t>• Investors holding units of a segregated portfolio (created on a credit event affecting a debt/money-market instrument) may not be able to liquidate their holding until money is recovered from the issuer.</w:t>
      </w:r>
    </w:p>
    <w:p w14:paraId="529160B8" w14:textId="77777777" w:rsidR="0066179A" w:rsidRPr="00130E3A" w:rsidRDefault="00A16FA4">
      <w:pPr>
        <w:spacing w:after="120"/>
        <w:ind w:left="431"/>
        <w:rPr>
          <w:rFonts w:ascii="Calibri" w:hAnsi="Calibri" w:cs="Calibri"/>
        </w:rPr>
      </w:pPr>
      <w:r w:rsidRPr="00130E3A">
        <w:rPr>
          <w:rFonts w:ascii="Calibri" w:hAnsi="Calibri" w:cs="Calibri"/>
        </w:rPr>
        <w:t>• Securities comprising the segregated portfolio may not realise any value.</w:t>
      </w:r>
    </w:p>
    <w:p w14:paraId="529160B9" w14:textId="77777777" w:rsidR="0066179A" w:rsidRPr="00130E3A" w:rsidRDefault="00A16FA4">
      <w:pPr>
        <w:spacing w:after="120"/>
        <w:ind w:left="431"/>
        <w:rPr>
          <w:rFonts w:ascii="Calibri" w:hAnsi="Calibri" w:cs="Calibri"/>
        </w:rPr>
      </w:pPr>
      <w:r w:rsidRPr="00130E3A">
        <w:rPr>
          <w:rFonts w:ascii="Calibri" w:hAnsi="Calibri" w:cs="Calibri"/>
        </w:rPr>
        <w:t>• Even if units of a segregated portfolio are listed, listing does not guarantee liquidity; there may be no active trading, and the trading price may be significantly lower than the prevailing NAV.</w:t>
      </w:r>
    </w:p>
    <w:p w14:paraId="529160BA" w14:textId="77777777" w:rsidR="0066179A" w:rsidRPr="00130E3A" w:rsidRDefault="00A16FA4">
      <w:pPr>
        <w:spacing w:before="200" w:after="100"/>
        <w:rPr>
          <w:rFonts w:ascii="Calibri" w:hAnsi="Calibri" w:cs="Calibri"/>
        </w:rPr>
      </w:pPr>
      <w:r w:rsidRPr="00130E3A">
        <w:rPr>
          <w:rFonts w:ascii="Calibri" w:hAnsi="Calibri" w:cs="Calibri"/>
          <w:b/>
          <w:bCs/>
          <w:i/>
          <w:iCs/>
        </w:rPr>
        <w:t>8. Risk Associated with Transacting through Email (Non-Individual Investors)</w:t>
      </w:r>
    </w:p>
    <w:p w14:paraId="529160BB" w14:textId="77777777" w:rsidR="0066179A" w:rsidRPr="00130E3A" w:rsidRDefault="00A16FA4">
      <w:pPr>
        <w:spacing w:after="120"/>
        <w:ind w:left="431"/>
        <w:rPr>
          <w:rFonts w:ascii="Calibri" w:hAnsi="Calibri" w:cs="Calibri"/>
        </w:rPr>
      </w:pPr>
      <w:r w:rsidRPr="00130E3A">
        <w:rPr>
          <w:rFonts w:ascii="Calibri" w:hAnsi="Calibri" w:cs="Calibri"/>
        </w:rPr>
        <w:t>• Email-based instructions are inherently vulnerable to interception, unauthorised access, phishing, spoofing, failed delivery and unintended transmission. The AMC does not accept responsibility for loss, damage or inconvenience arising from errors, delays, non-receipt or unauthorised access associated with transacting through email.</w:t>
      </w:r>
    </w:p>
    <w:p w14:paraId="529160C2" w14:textId="1E394998" w:rsidR="0066179A" w:rsidRPr="00130E3A" w:rsidRDefault="0066179A">
      <w:pPr>
        <w:spacing w:after="200"/>
        <w:rPr>
          <w:rFonts w:ascii="Calibri" w:hAnsi="Calibri" w:cs="Calibri"/>
        </w:rPr>
      </w:pPr>
    </w:p>
    <w:sectPr w:rsidR="0066179A" w:rsidRPr="00130E3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7830"/>
    <w:multiLevelType w:val="hybridMultilevel"/>
    <w:tmpl w:val="6184A2D6"/>
    <w:lvl w:ilvl="0" w:tplc="70562758">
      <w:start w:val="1"/>
      <w:numFmt w:val="bullet"/>
      <w:lvlText w:val="●"/>
      <w:lvlJc w:val="left"/>
      <w:pPr>
        <w:ind w:left="720" w:hanging="360"/>
      </w:pPr>
    </w:lvl>
    <w:lvl w:ilvl="1" w:tplc="BB22764A">
      <w:start w:val="1"/>
      <w:numFmt w:val="bullet"/>
      <w:lvlText w:val="○"/>
      <w:lvlJc w:val="left"/>
      <w:pPr>
        <w:ind w:left="1440" w:hanging="360"/>
      </w:pPr>
    </w:lvl>
    <w:lvl w:ilvl="2" w:tplc="9A4031F4">
      <w:start w:val="1"/>
      <w:numFmt w:val="bullet"/>
      <w:lvlText w:val="■"/>
      <w:lvlJc w:val="left"/>
      <w:pPr>
        <w:ind w:left="2160" w:hanging="360"/>
      </w:pPr>
    </w:lvl>
    <w:lvl w:ilvl="3" w:tplc="E31ADB98">
      <w:start w:val="1"/>
      <w:numFmt w:val="bullet"/>
      <w:lvlText w:val="●"/>
      <w:lvlJc w:val="left"/>
      <w:pPr>
        <w:ind w:left="2880" w:hanging="360"/>
      </w:pPr>
    </w:lvl>
    <w:lvl w:ilvl="4" w:tplc="0D860F52">
      <w:start w:val="1"/>
      <w:numFmt w:val="bullet"/>
      <w:lvlText w:val="○"/>
      <w:lvlJc w:val="left"/>
      <w:pPr>
        <w:ind w:left="3600" w:hanging="360"/>
      </w:pPr>
    </w:lvl>
    <w:lvl w:ilvl="5" w:tplc="33906D40">
      <w:start w:val="1"/>
      <w:numFmt w:val="bullet"/>
      <w:lvlText w:val="■"/>
      <w:lvlJc w:val="left"/>
      <w:pPr>
        <w:ind w:left="4320" w:hanging="360"/>
      </w:pPr>
    </w:lvl>
    <w:lvl w:ilvl="6" w:tplc="CBCCC924">
      <w:start w:val="1"/>
      <w:numFmt w:val="bullet"/>
      <w:lvlText w:val="●"/>
      <w:lvlJc w:val="left"/>
      <w:pPr>
        <w:ind w:left="5040" w:hanging="360"/>
      </w:pPr>
    </w:lvl>
    <w:lvl w:ilvl="7" w:tplc="E97A8658">
      <w:start w:val="1"/>
      <w:numFmt w:val="bullet"/>
      <w:lvlText w:val="●"/>
      <w:lvlJc w:val="left"/>
      <w:pPr>
        <w:ind w:left="5760" w:hanging="360"/>
      </w:pPr>
    </w:lvl>
    <w:lvl w:ilvl="8" w:tplc="4BA68060">
      <w:start w:val="1"/>
      <w:numFmt w:val="bullet"/>
      <w:lvlText w:val="●"/>
      <w:lvlJc w:val="left"/>
      <w:pPr>
        <w:ind w:left="6480" w:hanging="360"/>
      </w:pPr>
    </w:lvl>
  </w:abstractNum>
  <w:num w:numId="1" w16cid:durableId="10127280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79A"/>
    <w:rsid w:val="000837CA"/>
    <w:rsid w:val="00130E3A"/>
    <w:rsid w:val="00273C01"/>
    <w:rsid w:val="005B559C"/>
    <w:rsid w:val="0066179A"/>
    <w:rsid w:val="00680977"/>
    <w:rsid w:val="00777CF0"/>
    <w:rsid w:val="008C2F32"/>
    <w:rsid w:val="00A16FA4"/>
    <w:rsid w:val="00C21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607F"/>
  <w15:docId w15:val="{8EEBABF2-A0B4-4FD2-8537-D02F2547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1560</Words>
  <Characters>8897</Characters>
  <Application>Microsoft Office Word</Application>
  <DocSecurity>0</DocSecurity>
  <Lines>74</Lines>
  <Paragraphs>20</Paragraphs>
  <ScaleCrop>false</ScaleCrop>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5</cp:revision>
  <dcterms:created xsi:type="dcterms:W3CDTF">2026-08-24T06:07:00Z</dcterms:created>
  <dcterms:modified xsi:type="dcterms:W3CDTF">2026-08-24T08:41:00Z</dcterms:modified>
</cp:coreProperties>
</file>