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94AA3B" w14:textId="77777777" w:rsidR="00DB315A" w:rsidRPr="007B10C2" w:rsidRDefault="00A73B02" w:rsidP="0050204A">
      <w:pPr>
        <w:pStyle w:val="Title"/>
        <w:spacing w:after="100"/>
        <w:rPr>
          <w:rFonts w:ascii="Calibri" w:hAnsi="Calibri" w:cs="Calibri"/>
          <w:b/>
          <w:bCs/>
          <w:sz w:val="20"/>
          <w:szCs w:val="20"/>
        </w:rPr>
      </w:pPr>
      <w:r w:rsidRPr="007B10C2">
        <w:rPr>
          <w:rFonts w:ascii="Calibri" w:hAnsi="Calibri" w:cs="Calibri"/>
          <w:b/>
          <w:bCs/>
          <w:sz w:val="20"/>
          <w:szCs w:val="20"/>
        </w:rPr>
        <w:t>Risk Factors — Shriram Aggressive Hybrid Fund</w:t>
      </w:r>
    </w:p>
    <w:p w14:paraId="4994AA3F" w14:textId="5C437FCB" w:rsidR="00DB315A" w:rsidRPr="00F01A88" w:rsidRDefault="00A73B02" w:rsidP="005722DB">
      <w:pPr>
        <w:pStyle w:val="Heading1"/>
        <w:spacing w:before="300" w:after="150"/>
        <w:rPr>
          <w:rFonts w:ascii="Calibri" w:hAnsi="Calibri" w:cs="Calibri"/>
          <w:sz w:val="20"/>
          <w:szCs w:val="20"/>
        </w:rPr>
      </w:pPr>
      <w:r w:rsidRPr="00F01A88">
        <w:rPr>
          <w:rFonts w:ascii="Calibri" w:hAnsi="Calibri" w:cs="Calibri"/>
          <w:sz w:val="20"/>
          <w:szCs w:val="20"/>
        </w:rPr>
        <w:t>Section A — Summary Risk Factors</w:t>
      </w:r>
    </w:p>
    <w:p w14:paraId="4994AA40" w14:textId="77777777" w:rsidR="00DB315A" w:rsidRPr="00F01A88" w:rsidRDefault="00A73B02">
      <w:pPr>
        <w:pStyle w:val="ListParagraph"/>
        <w:numPr>
          <w:ilvl w:val="0"/>
          <w:numId w:val="2"/>
        </w:numPr>
        <w:spacing w:after="100"/>
        <w:rPr>
          <w:rFonts w:ascii="Calibri" w:hAnsi="Calibri" w:cs="Calibri"/>
        </w:rPr>
      </w:pPr>
      <w:r w:rsidRPr="00F01A88">
        <w:rPr>
          <w:rFonts w:ascii="Calibri" w:hAnsi="Calibri" w:cs="Calibri"/>
          <w:b/>
          <w:bCs/>
        </w:rPr>
        <w:t xml:space="preserve">Equity Market Risk: </w:t>
      </w:r>
      <w:r w:rsidRPr="00F01A88">
        <w:rPr>
          <w:rFonts w:ascii="Calibri" w:hAnsi="Calibri" w:cs="Calibri"/>
        </w:rPr>
        <w:t>Equity and equity-related securities are subject to market volatility and company-specific risks.</w:t>
      </w:r>
    </w:p>
    <w:p w14:paraId="4994AA41" w14:textId="77777777" w:rsidR="00DB315A" w:rsidRPr="00F01A88" w:rsidRDefault="00A73B02">
      <w:pPr>
        <w:pStyle w:val="ListParagraph"/>
        <w:numPr>
          <w:ilvl w:val="0"/>
          <w:numId w:val="2"/>
        </w:numPr>
        <w:spacing w:after="100"/>
        <w:rPr>
          <w:rFonts w:ascii="Calibri" w:hAnsi="Calibri" w:cs="Calibri"/>
        </w:rPr>
      </w:pPr>
      <w:r w:rsidRPr="00F01A88">
        <w:rPr>
          <w:rFonts w:ascii="Calibri" w:hAnsi="Calibri" w:cs="Calibri"/>
          <w:b/>
          <w:bCs/>
        </w:rPr>
        <w:t xml:space="preserve">Interest Rate Risk: </w:t>
      </w:r>
      <w:r w:rsidRPr="00F01A88">
        <w:rPr>
          <w:rFonts w:ascii="Calibri" w:hAnsi="Calibri" w:cs="Calibri"/>
        </w:rPr>
        <w:t>Changes in interest rates may affect the value of debt and money-market securities.</w:t>
      </w:r>
    </w:p>
    <w:p w14:paraId="4994AA42" w14:textId="77777777" w:rsidR="00DB315A" w:rsidRPr="00F01A88" w:rsidRDefault="00A73B02">
      <w:pPr>
        <w:pStyle w:val="ListParagraph"/>
        <w:numPr>
          <w:ilvl w:val="0"/>
          <w:numId w:val="2"/>
        </w:numPr>
        <w:spacing w:after="100"/>
        <w:rPr>
          <w:rFonts w:ascii="Calibri" w:hAnsi="Calibri" w:cs="Calibri"/>
        </w:rPr>
      </w:pPr>
      <w:r w:rsidRPr="00F01A88">
        <w:rPr>
          <w:rFonts w:ascii="Calibri" w:hAnsi="Calibri" w:cs="Calibri"/>
          <w:b/>
          <w:bCs/>
        </w:rPr>
        <w:t xml:space="preserve">Credit Risk: </w:t>
      </w:r>
      <w:r w:rsidRPr="00F01A88">
        <w:rPr>
          <w:rFonts w:ascii="Calibri" w:hAnsi="Calibri" w:cs="Calibri"/>
        </w:rPr>
        <w:t>Debt securities are subject to the risk of default, downgrade or deterioration in the credit quality of the issuer.</w:t>
      </w:r>
    </w:p>
    <w:p w14:paraId="4994AA43" w14:textId="77777777" w:rsidR="00DB315A" w:rsidRPr="00F01A88" w:rsidRDefault="00A73B02">
      <w:pPr>
        <w:pStyle w:val="ListParagraph"/>
        <w:numPr>
          <w:ilvl w:val="0"/>
          <w:numId w:val="2"/>
        </w:numPr>
        <w:spacing w:after="100"/>
        <w:rPr>
          <w:rFonts w:ascii="Calibri" w:hAnsi="Calibri" w:cs="Calibri"/>
        </w:rPr>
      </w:pPr>
      <w:r w:rsidRPr="00F01A88">
        <w:rPr>
          <w:rFonts w:ascii="Calibri" w:hAnsi="Calibri" w:cs="Calibri"/>
          <w:b/>
          <w:bCs/>
        </w:rPr>
        <w:t xml:space="preserve">Liquidity Risk: </w:t>
      </w:r>
      <w:r w:rsidRPr="00F01A88">
        <w:rPr>
          <w:rFonts w:ascii="Calibri" w:hAnsi="Calibri" w:cs="Calibri"/>
        </w:rPr>
        <w:t>Securities may not always be readily marketable, particularly during adverse or stressed market conditions.</w:t>
      </w:r>
    </w:p>
    <w:p w14:paraId="4994AA44" w14:textId="77777777" w:rsidR="00DB315A" w:rsidRPr="00F01A88" w:rsidRDefault="00A73B02">
      <w:pPr>
        <w:pStyle w:val="ListParagraph"/>
        <w:numPr>
          <w:ilvl w:val="0"/>
          <w:numId w:val="2"/>
        </w:numPr>
        <w:spacing w:after="100"/>
        <w:rPr>
          <w:rFonts w:ascii="Calibri" w:hAnsi="Calibri" w:cs="Calibri"/>
        </w:rPr>
      </w:pPr>
      <w:r w:rsidRPr="00F01A88">
        <w:rPr>
          <w:rFonts w:ascii="Calibri" w:hAnsi="Calibri" w:cs="Calibri"/>
          <w:b/>
          <w:bCs/>
        </w:rPr>
        <w:t xml:space="preserve">Derivative Risk: </w:t>
      </w:r>
      <w:r w:rsidRPr="00F01A88">
        <w:rPr>
          <w:rFonts w:ascii="Calibri" w:hAnsi="Calibri" w:cs="Calibri"/>
        </w:rPr>
        <w:t>Derivative transactions may involve leverage, valuation, liquidity, settlement and counterparty risks.</w:t>
      </w:r>
    </w:p>
    <w:p w14:paraId="4994AA45" w14:textId="77777777" w:rsidR="00DB315A" w:rsidRPr="00F01A88" w:rsidRDefault="00A73B02">
      <w:pPr>
        <w:pStyle w:val="ListParagraph"/>
        <w:numPr>
          <w:ilvl w:val="0"/>
          <w:numId w:val="2"/>
        </w:numPr>
        <w:spacing w:after="100"/>
        <w:rPr>
          <w:rFonts w:ascii="Calibri" w:hAnsi="Calibri" w:cs="Calibri"/>
        </w:rPr>
      </w:pPr>
      <w:r w:rsidRPr="00F01A88">
        <w:rPr>
          <w:rFonts w:ascii="Calibri" w:hAnsi="Calibri" w:cs="Calibri"/>
          <w:b/>
          <w:bCs/>
        </w:rPr>
        <w:t xml:space="preserve">Asset Allocation Risk: </w:t>
      </w:r>
      <w:r w:rsidRPr="00F01A88">
        <w:rPr>
          <w:rFonts w:ascii="Calibri" w:hAnsi="Calibri" w:cs="Calibri"/>
        </w:rPr>
        <w:t>The Scheme's performance may be affected by changes in allocation between equity, debt and money-market instruments.</w:t>
      </w:r>
    </w:p>
    <w:p w14:paraId="4994AA46" w14:textId="77777777" w:rsidR="00DB315A" w:rsidRPr="00F01A88" w:rsidRDefault="00A73B02">
      <w:pPr>
        <w:pStyle w:val="ListParagraph"/>
        <w:numPr>
          <w:ilvl w:val="0"/>
          <w:numId w:val="2"/>
        </w:numPr>
        <w:spacing w:after="100"/>
        <w:rPr>
          <w:rFonts w:ascii="Calibri" w:hAnsi="Calibri" w:cs="Calibri"/>
        </w:rPr>
      </w:pPr>
      <w:r w:rsidRPr="00F01A88">
        <w:rPr>
          <w:rFonts w:ascii="Calibri" w:hAnsi="Calibri" w:cs="Calibri"/>
          <w:b/>
          <w:bCs/>
        </w:rPr>
        <w:t xml:space="preserve">Concentration Risk: </w:t>
      </w:r>
      <w:r w:rsidRPr="00F01A88">
        <w:rPr>
          <w:rFonts w:ascii="Calibri" w:hAnsi="Calibri" w:cs="Calibri"/>
        </w:rPr>
        <w:t>Concentration in particular securities, sectors or issuers may increase portfolio volatility and risk.</w:t>
      </w:r>
    </w:p>
    <w:p w14:paraId="4994AA47" w14:textId="5916A4F1" w:rsidR="00DB315A" w:rsidRPr="00F01A88" w:rsidRDefault="00A73B02">
      <w:pPr>
        <w:pStyle w:val="Heading1"/>
        <w:spacing w:before="300" w:after="150"/>
        <w:rPr>
          <w:rFonts w:ascii="Calibri" w:hAnsi="Calibri" w:cs="Calibri"/>
          <w:sz w:val="20"/>
          <w:szCs w:val="20"/>
        </w:rPr>
      </w:pPr>
      <w:r w:rsidRPr="00F01A88">
        <w:rPr>
          <w:rFonts w:ascii="Calibri" w:hAnsi="Calibri" w:cs="Calibri"/>
          <w:sz w:val="20"/>
          <w:szCs w:val="20"/>
        </w:rPr>
        <w:t xml:space="preserve">Section B — Detailed Risk Factors </w:t>
      </w:r>
    </w:p>
    <w:p w14:paraId="4994AA49" w14:textId="77777777" w:rsidR="00DB315A" w:rsidRPr="00F01A88" w:rsidRDefault="00A73B02">
      <w:pPr>
        <w:pStyle w:val="Heading2"/>
        <w:spacing w:before="240" w:after="120"/>
        <w:rPr>
          <w:rFonts w:ascii="Calibri" w:hAnsi="Calibri" w:cs="Calibri"/>
          <w:sz w:val="20"/>
          <w:szCs w:val="20"/>
        </w:rPr>
      </w:pPr>
      <w:r w:rsidRPr="00F01A88">
        <w:rPr>
          <w:rFonts w:ascii="Calibri" w:hAnsi="Calibri" w:cs="Calibri"/>
          <w:sz w:val="20"/>
          <w:szCs w:val="20"/>
        </w:rPr>
        <w:t>1. Scheme-Level / General Risk Factors</w:t>
      </w:r>
    </w:p>
    <w:p w14:paraId="4994AA4A" w14:textId="77777777" w:rsidR="00DB315A" w:rsidRPr="00F01A88" w:rsidRDefault="00A73B02">
      <w:pPr>
        <w:pStyle w:val="ListParagraph"/>
        <w:numPr>
          <w:ilvl w:val="0"/>
          <w:numId w:val="2"/>
        </w:numPr>
        <w:spacing w:after="100"/>
        <w:rPr>
          <w:rFonts w:ascii="Calibri" w:hAnsi="Calibri" w:cs="Calibri"/>
        </w:rPr>
      </w:pPr>
      <w:r w:rsidRPr="00F01A88">
        <w:rPr>
          <w:rFonts w:ascii="Calibri" w:hAnsi="Calibri" w:cs="Calibri"/>
        </w:rPr>
        <w:t>Performance may be affected by corporate performance, macro-economic factors, changes in Government policies, general levels of interest rates, and risks associated with trading volumes, liquidity and settlement systems in the securities markets.</w:t>
      </w:r>
    </w:p>
    <w:p w14:paraId="4994AA4B" w14:textId="77777777" w:rsidR="00DB315A" w:rsidRPr="00F01A88" w:rsidRDefault="00A73B02">
      <w:pPr>
        <w:pStyle w:val="ListParagraph"/>
        <w:numPr>
          <w:ilvl w:val="0"/>
          <w:numId w:val="2"/>
        </w:numPr>
        <w:spacing w:after="100"/>
        <w:rPr>
          <w:rFonts w:ascii="Calibri" w:hAnsi="Calibri" w:cs="Calibri"/>
        </w:rPr>
      </w:pPr>
      <w:r w:rsidRPr="00F01A88">
        <w:rPr>
          <w:rFonts w:ascii="Calibri" w:hAnsi="Calibri" w:cs="Calibri"/>
        </w:rPr>
        <w:t>Low trading volumes, settlement periods and transfer procedures may restrict liquidity of the Scheme's investments; extreme market volatility may constrict volumes. Changes in SEBI/RBI regulations may adversely impact liquidity. The Trustee may limit or withdraw sale/repurchase/switching temporarily or indefinitely under certain circumstances.</w:t>
      </w:r>
    </w:p>
    <w:p w14:paraId="4994AA4C" w14:textId="77777777" w:rsidR="00DB315A" w:rsidRPr="00F01A88" w:rsidRDefault="00A73B02">
      <w:pPr>
        <w:pStyle w:val="Heading2"/>
        <w:spacing w:before="240" w:after="120"/>
        <w:rPr>
          <w:rFonts w:ascii="Calibri" w:hAnsi="Calibri" w:cs="Calibri"/>
          <w:sz w:val="20"/>
          <w:szCs w:val="20"/>
        </w:rPr>
      </w:pPr>
      <w:r w:rsidRPr="00F01A88">
        <w:rPr>
          <w:rFonts w:ascii="Calibri" w:hAnsi="Calibri" w:cs="Calibri"/>
          <w:sz w:val="20"/>
          <w:szCs w:val="20"/>
        </w:rPr>
        <w:t>2. Risks Associated with Equity and Equity-Related Instruments</w:t>
      </w:r>
    </w:p>
    <w:p w14:paraId="4994AA4D" w14:textId="77777777" w:rsidR="00DB315A" w:rsidRPr="00F01A88" w:rsidRDefault="00A73B02">
      <w:pPr>
        <w:pStyle w:val="ListParagraph"/>
        <w:numPr>
          <w:ilvl w:val="0"/>
          <w:numId w:val="2"/>
        </w:numPr>
        <w:spacing w:after="100"/>
        <w:rPr>
          <w:rFonts w:ascii="Calibri" w:hAnsi="Calibri" w:cs="Calibri"/>
        </w:rPr>
      </w:pPr>
      <w:r w:rsidRPr="00F01A88">
        <w:rPr>
          <w:rFonts w:ascii="Calibri" w:hAnsi="Calibri" w:cs="Calibri"/>
          <w:b/>
          <w:bCs/>
        </w:rPr>
        <w:t xml:space="preserve">Market Risk: </w:t>
      </w:r>
      <w:r w:rsidRPr="00F01A88">
        <w:rPr>
          <w:rFonts w:ascii="Calibri" w:hAnsi="Calibri" w:cs="Calibri"/>
        </w:rPr>
        <w:t>Inherent to equity investment; prices, trading volumes, settlement periods and transfer procedures may restrict liquidity.</w:t>
      </w:r>
    </w:p>
    <w:p w14:paraId="4994AA4E" w14:textId="77777777" w:rsidR="00DB315A" w:rsidRPr="00F01A88" w:rsidRDefault="00A73B02">
      <w:pPr>
        <w:pStyle w:val="ListParagraph"/>
        <w:numPr>
          <w:ilvl w:val="0"/>
          <w:numId w:val="2"/>
        </w:numPr>
        <w:spacing w:after="100"/>
        <w:rPr>
          <w:rFonts w:ascii="Calibri" w:hAnsi="Calibri" w:cs="Calibri"/>
        </w:rPr>
      </w:pPr>
      <w:r w:rsidRPr="00F01A88">
        <w:rPr>
          <w:rFonts w:ascii="Calibri" w:hAnsi="Calibri" w:cs="Calibri"/>
          <w:b/>
          <w:bCs/>
        </w:rPr>
        <w:t xml:space="preserve">Liquidity Risk: </w:t>
      </w:r>
      <w:r w:rsidRPr="00F01A88">
        <w:rPr>
          <w:rFonts w:ascii="Calibri" w:hAnsi="Calibri" w:cs="Calibri"/>
        </w:rPr>
        <w:t>Monitored basis average volume traded; ability to sell may be limited by overall exchange trading volumes.</w:t>
      </w:r>
    </w:p>
    <w:p w14:paraId="4994AA4F" w14:textId="77777777" w:rsidR="00DB315A" w:rsidRPr="00F01A88" w:rsidRDefault="00A73B02">
      <w:pPr>
        <w:pStyle w:val="ListParagraph"/>
        <w:numPr>
          <w:ilvl w:val="0"/>
          <w:numId w:val="2"/>
        </w:numPr>
        <w:spacing w:after="100"/>
        <w:rPr>
          <w:rFonts w:ascii="Calibri" w:hAnsi="Calibri" w:cs="Calibri"/>
        </w:rPr>
      </w:pPr>
      <w:r w:rsidRPr="00F01A88">
        <w:rPr>
          <w:rFonts w:ascii="Calibri" w:hAnsi="Calibri" w:cs="Calibri"/>
          <w:b/>
          <w:bCs/>
        </w:rPr>
        <w:t xml:space="preserve">Mid Cap / Small Cap Risk: </w:t>
      </w:r>
      <w:r w:rsidRPr="00F01A88">
        <w:rPr>
          <w:rFonts w:ascii="Calibri" w:hAnsi="Calibri" w:cs="Calibri"/>
        </w:rPr>
        <w:t>Mid and small cap stocks can be riskier and more volatile than large, well-established companies; they may carry greater liquidity risk, weaker corporate governance, and less resilience to business/economic shocks.</w:t>
      </w:r>
    </w:p>
    <w:p w14:paraId="4994AA50" w14:textId="77777777" w:rsidR="00DB315A" w:rsidRPr="00F01A88" w:rsidRDefault="00A73B02">
      <w:pPr>
        <w:pStyle w:val="ListParagraph"/>
        <w:numPr>
          <w:ilvl w:val="0"/>
          <w:numId w:val="2"/>
        </w:numPr>
        <w:spacing w:after="100"/>
        <w:rPr>
          <w:rFonts w:ascii="Calibri" w:hAnsi="Calibri" w:cs="Calibri"/>
        </w:rPr>
      </w:pPr>
      <w:r w:rsidRPr="00F01A88">
        <w:rPr>
          <w:rFonts w:ascii="Calibri" w:hAnsi="Calibri" w:cs="Calibri"/>
          <w:b/>
          <w:bCs/>
        </w:rPr>
        <w:t xml:space="preserve">Unlisted / Illiquid Securities Risk: </w:t>
      </w:r>
      <w:r w:rsidRPr="00F01A88">
        <w:rPr>
          <w:rFonts w:ascii="Calibri" w:hAnsi="Calibri" w:cs="Calibri"/>
        </w:rPr>
        <w:t>Securities not quoted on stock exchanges are inherently illiquid and carry larger liquidity risk; the Scheme may invest up to 5% of net assets in unlisted equity and equity-related instruments, which could affect scheme liquidity and valuation.</w:t>
      </w:r>
    </w:p>
    <w:p w14:paraId="075780D8" w14:textId="11D85856" w:rsidR="00340C8D" w:rsidRPr="00F01A88" w:rsidRDefault="00340C8D" w:rsidP="00340C8D">
      <w:pPr>
        <w:spacing w:after="100"/>
        <w:rPr>
          <w:rFonts w:ascii="Calibri" w:hAnsi="Calibri" w:cs="Calibri"/>
        </w:rPr>
      </w:pPr>
    </w:p>
    <w:p w14:paraId="41EDCE9B" w14:textId="77777777" w:rsidR="00340C8D" w:rsidRPr="00F01A88" w:rsidRDefault="00340C8D" w:rsidP="00340C8D">
      <w:pPr>
        <w:spacing w:after="100"/>
        <w:rPr>
          <w:rFonts w:ascii="Calibri" w:hAnsi="Calibri" w:cs="Calibri"/>
        </w:rPr>
      </w:pPr>
    </w:p>
    <w:p w14:paraId="4994AA51" w14:textId="77777777" w:rsidR="00DB315A" w:rsidRPr="00F01A88" w:rsidRDefault="00A73B02">
      <w:pPr>
        <w:pStyle w:val="Heading2"/>
        <w:spacing w:before="240" w:after="120"/>
        <w:rPr>
          <w:rFonts w:ascii="Calibri" w:hAnsi="Calibri" w:cs="Calibri"/>
          <w:sz w:val="20"/>
          <w:szCs w:val="20"/>
        </w:rPr>
      </w:pPr>
      <w:r w:rsidRPr="00F01A88">
        <w:rPr>
          <w:rFonts w:ascii="Calibri" w:hAnsi="Calibri" w:cs="Calibri"/>
          <w:sz w:val="20"/>
          <w:szCs w:val="20"/>
        </w:rPr>
        <w:t>3. Risks Associated with Debt and Money Market Instruments</w:t>
      </w:r>
    </w:p>
    <w:p w14:paraId="4994AA52" w14:textId="77777777" w:rsidR="00DB315A" w:rsidRPr="00F01A88" w:rsidRDefault="00A73B02">
      <w:pPr>
        <w:pStyle w:val="ListParagraph"/>
        <w:numPr>
          <w:ilvl w:val="0"/>
          <w:numId w:val="2"/>
        </w:numPr>
        <w:spacing w:after="100"/>
        <w:rPr>
          <w:rFonts w:ascii="Calibri" w:hAnsi="Calibri" w:cs="Calibri"/>
        </w:rPr>
      </w:pPr>
      <w:r w:rsidRPr="00F01A88">
        <w:rPr>
          <w:rFonts w:ascii="Calibri" w:hAnsi="Calibri" w:cs="Calibri"/>
          <w:b/>
          <w:bCs/>
        </w:rPr>
        <w:t xml:space="preserve">Interest Rate Risk: </w:t>
      </w:r>
      <w:r w:rsidRPr="00F01A88">
        <w:rPr>
          <w:rFonts w:ascii="Calibri" w:hAnsi="Calibri" w:cs="Calibri"/>
        </w:rPr>
        <w:t>Changes in interest rates cause price fluctuation in debt instruments and consequent NAV fluctuation; long-term securities are more sensitive than short-term securities.</w:t>
      </w:r>
    </w:p>
    <w:p w14:paraId="4994AA53" w14:textId="77777777" w:rsidR="00DB315A" w:rsidRPr="00F01A88" w:rsidRDefault="00A73B02">
      <w:pPr>
        <w:pStyle w:val="ListParagraph"/>
        <w:numPr>
          <w:ilvl w:val="0"/>
          <w:numId w:val="2"/>
        </w:numPr>
        <w:spacing w:after="100"/>
        <w:rPr>
          <w:rFonts w:ascii="Calibri" w:hAnsi="Calibri" w:cs="Calibri"/>
        </w:rPr>
      </w:pPr>
      <w:r w:rsidRPr="00F01A88">
        <w:rPr>
          <w:rFonts w:ascii="Calibri" w:hAnsi="Calibri" w:cs="Calibri"/>
          <w:b/>
          <w:bCs/>
        </w:rPr>
        <w:lastRenderedPageBreak/>
        <w:t xml:space="preserve">Credit / Default Risk: </w:t>
      </w:r>
      <w:r w:rsidRPr="00F01A88">
        <w:rPr>
          <w:rFonts w:ascii="Calibri" w:hAnsi="Calibri" w:cs="Calibri"/>
        </w:rPr>
        <w:t>Risk that an issuer may fail to make timely principal/interest payments; higher credit risk demands higher yield.</w:t>
      </w:r>
    </w:p>
    <w:p w14:paraId="4994AA54" w14:textId="77777777" w:rsidR="00DB315A" w:rsidRPr="00F01A88" w:rsidRDefault="00A73B02">
      <w:pPr>
        <w:pStyle w:val="ListParagraph"/>
        <w:numPr>
          <w:ilvl w:val="0"/>
          <w:numId w:val="2"/>
        </w:numPr>
        <w:spacing w:after="100"/>
        <w:rPr>
          <w:rFonts w:ascii="Calibri" w:hAnsi="Calibri" w:cs="Calibri"/>
        </w:rPr>
      </w:pPr>
      <w:r w:rsidRPr="00F01A88">
        <w:rPr>
          <w:rFonts w:ascii="Calibri" w:hAnsi="Calibri" w:cs="Calibri"/>
          <w:b/>
          <w:bCs/>
        </w:rPr>
        <w:t xml:space="preserve">Liquidity / Marketability Risk: </w:t>
      </w:r>
      <w:r w:rsidRPr="00F01A88">
        <w:rPr>
          <w:rFonts w:ascii="Calibri" w:hAnsi="Calibri" w:cs="Calibri"/>
        </w:rPr>
        <w:t>Ease with which a security can be sold at or near its valuation (YTM); characteristic risk of the Indian fixed income market, measured via bid-offer spread.</w:t>
      </w:r>
    </w:p>
    <w:p w14:paraId="4994AA55" w14:textId="77777777" w:rsidR="00DB315A" w:rsidRPr="00F01A88" w:rsidRDefault="00A73B02">
      <w:pPr>
        <w:pStyle w:val="ListParagraph"/>
        <w:numPr>
          <w:ilvl w:val="0"/>
          <w:numId w:val="2"/>
        </w:numPr>
        <w:spacing w:after="100"/>
        <w:rPr>
          <w:rFonts w:ascii="Calibri" w:hAnsi="Calibri" w:cs="Calibri"/>
        </w:rPr>
      </w:pPr>
      <w:r w:rsidRPr="00F01A88">
        <w:rPr>
          <w:rFonts w:ascii="Calibri" w:hAnsi="Calibri" w:cs="Calibri"/>
          <w:b/>
          <w:bCs/>
        </w:rPr>
        <w:t xml:space="preserve">Market Risk: </w:t>
      </w:r>
      <w:r w:rsidRPr="00F01A88">
        <w:rPr>
          <w:rFonts w:ascii="Calibri" w:hAnsi="Calibri" w:cs="Calibri"/>
        </w:rPr>
        <w:t>Price volatility from interest-rate sensitivity, market perception, issuer creditworthiness, and liquidity flows; may expose the Scheme to capital erosion.</w:t>
      </w:r>
    </w:p>
    <w:p w14:paraId="4994AA56" w14:textId="77777777" w:rsidR="00DB315A" w:rsidRPr="00F01A88" w:rsidRDefault="00A73B02">
      <w:pPr>
        <w:pStyle w:val="ListParagraph"/>
        <w:numPr>
          <w:ilvl w:val="0"/>
          <w:numId w:val="2"/>
        </w:numPr>
        <w:spacing w:after="100"/>
        <w:rPr>
          <w:rFonts w:ascii="Calibri" w:hAnsi="Calibri" w:cs="Calibri"/>
        </w:rPr>
      </w:pPr>
      <w:r w:rsidRPr="00F01A88">
        <w:rPr>
          <w:rFonts w:ascii="Calibri" w:hAnsi="Calibri" w:cs="Calibri"/>
          <w:b/>
          <w:bCs/>
        </w:rPr>
        <w:t xml:space="preserve">Reinvestment Risk: </w:t>
      </w:r>
      <w:r w:rsidRPr="00F01A88">
        <w:rPr>
          <w:rFonts w:ascii="Calibri" w:hAnsi="Calibri" w:cs="Calibri"/>
        </w:rPr>
        <w:t>Cash flows received (coupon/maturity proceeds) may need to be reinvested at rates lower than the original coupon.</w:t>
      </w:r>
    </w:p>
    <w:p w14:paraId="4994AA57" w14:textId="77777777" w:rsidR="00DB315A" w:rsidRPr="00F01A88" w:rsidRDefault="00A73B02">
      <w:pPr>
        <w:pStyle w:val="ListParagraph"/>
        <w:numPr>
          <w:ilvl w:val="0"/>
          <w:numId w:val="2"/>
        </w:numPr>
        <w:spacing w:after="100"/>
        <w:rPr>
          <w:rFonts w:ascii="Calibri" w:hAnsi="Calibri" w:cs="Calibri"/>
        </w:rPr>
      </w:pPr>
      <w:r w:rsidRPr="00F01A88">
        <w:rPr>
          <w:rFonts w:ascii="Calibri" w:hAnsi="Calibri" w:cs="Calibri"/>
          <w:b/>
          <w:bCs/>
        </w:rPr>
        <w:t xml:space="preserve">Call / Pre-payment Risk: </w:t>
      </w:r>
      <w:r w:rsidRPr="00F01A88">
        <w:rPr>
          <w:rFonts w:ascii="Calibri" w:hAnsi="Calibri" w:cs="Calibri"/>
        </w:rPr>
        <w:t>Issuers of certain securities may call/prepay in a declining rate environment, forcing reinvestment at lower yields.</w:t>
      </w:r>
    </w:p>
    <w:p w14:paraId="4994AA58" w14:textId="77777777" w:rsidR="00DB315A" w:rsidRPr="00F01A88" w:rsidRDefault="00A73B02">
      <w:pPr>
        <w:pStyle w:val="ListParagraph"/>
        <w:numPr>
          <w:ilvl w:val="0"/>
          <w:numId w:val="2"/>
        </w:numPr>
        <w:spacing w:after="100"/>
        <w:rPr>
          <w:rFonts w:ascii="Calibri" w:hAnsi="Calibri" w:cs="Calibri"/>
        </w:rPr>
      </w:pPr>
      <w:r w:rsidRPr="00F01A88">
        <w:rPr>
          <w:rFonts w:ascii="Calibri" w:hAnsi="Calibri" w:cs="Calibri"/>
          <w:b/>
          <w:bCs/>
        </w:rPr>
        <w:t xml:space="preserve">Instrument-Type Risk: </w:t>
      </w:r>
      <w:r w:rsidRPr="00F01A88">
        <w:rPr>
          <w:rFonts w:ascii="Calibri" w:hAnsi="Calibri" w:cs="Calibri"/>
        </w:rPr>
        <w:t>Different debt instruments carry different risk levels (e.g., corporate bonds carry more risk than G-Secs; AA-rated bonds more risk than AAA-rated).</w:t>
      </w:r>
    </w:p>
    <w:p w14:paraId="4994AA59" w14:textId="77777777" w:rsidR="00DB315A" w:rsidRPr="00F01A88" w:rsidRDefault="00A73B02">
      <w:pPr>
        <w:pStyle w:val="ListParagraph"/>
        <w:numPr>
          <w:ilvl w:val="0"/>
          <w:numId w:val="2"/>
        </w:numPr>
        <w:spacing w:after="100"/>
        <w:rPr>
          <w:rFonts w:ascii="Calibri" w:hAnsi="Calibri" w:cs="Calibri"/>
        </w:rPr>
      </w:pPr>
      <w:r w:rsidRPr="00F01A88">
        <w:rPr>
          <w:rFonts w:ascii="Calibri" w:hAnsi="Calibri" w:cs="Calibri"/>
          <w:b/>
          <w:bCs/>
        </w:rPr>
        <w:t xml:space="preserve">Non-Publicly Offered / Unrated Debt Risk: </w:t>
      </w:r>
      <w:r w:rsidRPr="00F01A88">
        <w:rPr>
          <w:rFonts w:ascii="Calibri" w:hAnsi="Calibri" w:cs="Calibri"/>
        </w:rPr>
        <w:t>Investment in non-publicly offered debt securities may expose the Scheme to liquidity risk.</w:t>
      </w:r>
    </w:p>
    <w:p w14:paraId="4994AA5A" w14:textId="77777777" w:rsidR="00DB315A" w:rsidRPr="00F01A88" w:rsidRDefault="00A73B02">
      <w:pPr>
        <w:pStyle w:val="ListParagraph"/>
        <w:numPr>
          <w:ilvl w:val="0"/>
          <w:numId w:val="2"/>
        </w:numPr>
        <w:spacing w:after="100"/>
        <w:rPr>
          <w:rFonts w:ascii="Calibri" w:hAnsi="Calibri" w:cs="Calibri"/>
        </w:rPr>
      </w:pPr>
      <w:r w:rsidRPr="00F01A88">
        <w:rPr>
          <w:rFonts w:ascii="Calibri" w:hAnsi="Calibri" w:cs="Calibri"/>
          <w:b/>
          <w:bCs/>
        </w:rPr>
        <w:t xml:space="preserve">Money Market Instrument Risk: </w:t>
      </w:r>
      <w:r w:rsidRPr="00F01A88">
        <w:rPr>
          <w:rFonts w:ascii="Calibri" w:hAnsi="Calibri" w:cs="Calibri"/>
        </w:rPr>
        <w:t>Though fairly liquid, these instruments lack a well-developed secondary market, which may restrict selling ability.</w:t>
      </w:r>
    </w:p>
    <w:p w14:paraId="4994AA5B" w14:textId="77777777" w:rsidR="00DB315A" w:rsidRPr="00F01A88" w:rsidRDefault="00A73B02">
      <w:pPr>
        <w:pStyle w:val="Heading2"/>
        <w:spacing w:before="240" w:after="120"/>
        <w:rPr>
          <w:rFonts w:ascii="Calibri" w:hAnsi="Calibri" w:cs="Calibri"/>
          <w:sz w:val="20"/>
          <w:szCs w:val="20"/>
        </w:rPr>
      </w:pPr>
      <w:r w:rsidRPr="00F01A88">
        <w:rPr>
          <w:rFonts w:ascii="Calibri" w:hAnsi="Calibri" w:cs="Calibri"/>
          <w:sz w:val="20"/>
          <w:szCs w:val="20"/>
        </w:rPr>
        <w:t>4. Risks Associated with Derivatives</w:t>
      </w:r>
    </w:p>
    <w:p w14:paraId="4994AA5C" w14:textId="77777777" w:rsidR="00DB315A" w:rsidRPr="00F01A88" w:rsidRDefault="00A73B02">
      <w:pPr>
        <w:pStyle w:val="ListParagraph"/>
        <w:numPr>
          <w:ilvl w:val="0"/>
          <w:numId w:val="2"/>
        </w:numPr>
        <w:spacing w:after="100"/>
        <w:rPr>
          <w:rFonts w:ascii="Calibri" w:hAnsi="Calibri" w:cs="Calibri"/>
        </w:rPr>
      </w:pPr>
      <w:r w:rsidRPr="00F01A88">
        <w:rPr>
          <w:rFonts w:ascii="Calibri" w:hAnsi="Calibri" w:cs="Calibri"/>
          <w:b/>
          <w:bCs/>
        </w:rPr>
        <w:t xml:space="preserve">Leverage Risk: </w:t>
      </w:r>
      <w:r w:rsidRPr="00F01A88">
        <w:rPr>
          <w:rFonts w:ascii="Calibri" w:hAnsi="Calibri" w:cs="Calibri"/>
        </w:rPr>
        <w:t>Derivatives are high risk-high return instruments; a small price movement in the underlying can have a large impact on value, and losses can be disproportionate to the premium/margin deployed.</w:t>
      </w:r>
    </w:p>
    <w:p w14:paraId="4994AA5D" w14:textId="77777777" w:rsidR="00DB315A" w:rsidRPr="00F01A88" w:rsidRDefault="00A73B02">
      <w:pPr>
        <w:pStyle w:val="ListParagraph"/>
        <w:numPr>
          <w:ilvl w:val="0"/>
          <w:numId w:val="2"/>
        </w:numPr>
        <w:spacing w:after="100"/>
        <w:rPr>
          <w:rFonts w:ascii="Calibri" w:hAnsi="Calibri" w:cs="Calibri"/>
        </w:rPr>
      </w:pPr>
      <w:r w:rsidRPr="00F01A88">
        <w:rPr>
          <w:rFonts w:ascii="Calibri" w:hAnsi="Calibri" w:cs="Calibri"/>
          <w:b/>
          <w:bCs/>
        </w:rPr>
        <w:t xml:space="preserve">Strategy / Execution Risk: </w:t>
      </w:r>
      <w:r w:rsidRPr="00F01A88">
        <w:rPr>
          <w:rFonts w:ascii="Calibri" w:hAnsi="Calibri" w:cs="Calibri"/>
        </w:rPr>
        <w:t>Success depends on the fund manager's ability to correctly identify and execute strategies; no assurance of profitability.</w:t>
      </w:r>
    </w:p>
    <w:p w14:paraId="4994AA5E" w14:textId="77777777" w:rsidR="00DB315A" w:rsidRPr="00F01A88" w:rsidRDefault="00A73B02">
      <w:pPr>
        <w:pStyle w:val="ListParagraph"/>
        <w:numPr>
          <w:ilvl w:val="0"/>
          <w:numId w:val="2"/>
        </w:numPr>
        <w:spacing w:after="100"/>
        <w:rPr>
          <w:rFonts w:ascii="Calibri" w:hAnsi="Calibri" w:cs="Calibri"/>
        </w:rPr>
      </w:pPr>
      <w:r w:rsidRPr="00F01A88">
        <w:rPr>
          <w:rFonts w:ascii="Calibri" w:hAnsi="Calibri" w:cs="Calibri"/>
          <w:b/>
          <w:bCs/>
        </w:rPr>
        <w:t xml:space="preserve">Futures Liquidity Risk: </w:t>
      </w:r>
      <w:r w:rsidRPr="00F01A88">
        <w:rPr>
          <w:rFonts w:ascii="Calibri" w:hAnsi="Calibri" w:cs="Calibri"/>
        </w:rPr>
        <w:t>Futures markets, while generally more liquid than cash markets, may not always offer ready liquidity to enter/exit a specific contract.</w:t>
      </w:r>
    </w:p>
    <w:p w14:paraId="4994AA5F" w14:textId="77777777" w:rsidR="00DB315A" w:rsidRPr="00F01A88" w:rsidRDefault="00A73B02">
      <w:pPr>
        <w:pStyle w:val="ListParagraph"/>
        <w:numPr>
          <w:ilvl w:val="0"/>
          <w:numId w:val="2"/>
        </w:numPr>
        <w:spacing w:after="100"/>
        <w:rPr>
          <w:rFonts w:ascii="Calibri" w:hAnsi="Calibri" w:cs="Calibri"/>
        </w:rPr>
      </w:pPr>
      <w:r w:rsidRPr="00F01A88">
        <w:rPr>
          <w:rFonts w:ascii="Calibri" w:hAnsi="Calibri" w:cs="Calibri"/>
          <w:b/>
          <w:bCs/>
        </w:rPr>
        <w:t xml:space="preserve">Options Premium Risk: </w:t>
      </w:r>
      <w:r w:rsidRPr="00F01A88">
        <w:rPr>
          <w:rFonts w:ascii="Calibri" w:hAnsi="Calibri" w:cs="Calibri"/>
        </w:rPr>
        <w:t>Maximum loss on a bought option (call/put) is capped at the premium paid if the option expires out-of-the-money.</w:t>
      </w:r>
    </w:p>
    <w:p w14:paraId="4994AA60" w14:textId="77777777" w:rsidR="00DB315A" w:rsidRPr="00F01A88" w:rsidRDefault="00A73B02">
      <w:pPr>
        <w:pStyle w:val="ListParagraph"/>
        <w:numPr>
          <w:ilvl w:val="0"/>
          <w:numId w:val="2"/>
        </w:numPr>
        <w:spacing w:after="100"/>
        <w:rPr>
          <w:rFonts w:ascii="Calibri" w:hAnsi="Calibri" w:cs="Calibri"/>
        </w:rPr>
      </w:pPr>
      <w:r w:rsidRPr="00F01A88">
        <w:rPr>
          <w:rFonts w:ascii="Calibri" w:hAnsi="Calibri" w:cs="Calibri"/>
          <w:b/>
          <w:bCs/>
        </w:rPr>
        <w:t xml:space="preserve">Mispricing / Correlation Risk: </w:t>
      </w:r>
      <w:r w:rsidRPr="00F01A88">
        <w:rPr>
          <w:rFonts w:ascii="Calibri" w:hAnsi="Calibri" w:cs="Calibri"/>
        </w:rPr>
        <w:t>Potential for illiquidity and mispricing of futures, and imperfect correlation between derivatives and underlying assets/rates/indices.</w:t>
      </w:r>
    </w:p>
    <w:p w14:paraId="4994AA61" w14:textId="77777777" w:rsidR="00DB315A" w:rsidRPr="00F01A88" w:rsidRDefault="00A73B02">
      <w:pPr>
        <w:pStyle w:val="ListParagraph"/>
        <w:numPr>
          <w:ilvl w:val="0"/>
          <w:numId w:val="2"/>
        </w:numPr>
        <w:spacing w:after="100"/>
        <w:rPr>
          <w:rFonts w:ascii="Calibri" w:hAnsi="Calibri" w:cs="Calibri"/>
        </w:rPr>
      </w:pPr>
      <w:r w:rsidRPr="00F01A88">
        <w:rPr>
          <w:rFonts w:ascii="Calibri" w:hAnsi="Calibri" w:cs="Calibri"/>
          <w:b/>
          <w:bCs/>
        </w:rPr>
        <w:t xml:space="preserve">Hedge Imbalance Risk: </w:t>
      </w:r>
      <w:r w:rsidRPr="00F01A88">
        <w:rPr>
          <w:rFonts w:ascii="Calibri" w:hAnsi="Calibri" w:cs="Calibri"/>
        </w:rPr>
        <w:t>A long position in an index can lose as much as a fully-hedged short portfolio gains, and vice versa.</w:t>
      </w:r>
    </w:p>
    <w:p w14:paraId="4994AA62" w14:textId="77777777" w:rsidR="00DB315A" w:rsidRPr="00F01A88" w:rsidRDefault="00A73B02">
      <w:pPr>
        <w:pStyle w:val="ListParagraph"/>
        <w:numPr>
          <w:ilvl w:val="0"/>
          <w:numId w:val="2"/>
        </w:numPr>
        <w:spacing w:after="100"/>
        <w:rPr>
          <w:rFonts w:ascii="Calibri" w:hAnsi="Calibri" w:cs="Calibri"/>
        </w:rPr>
      </w:pPr>
      <w:r w:rsidRPr="00F01A88">
        <w:rPr>
          <w:rFonts w:ascii="Calibri" w:hAnsi="Calibri" w:cs="Calibri"/>
          <w:b/>
          <w:bCs/>
        </w:rPr>
        <w:t xml:space="preserve">Exchange Restriction Risk: </w:t>
      </w:r>
      <w:r w:rsidRPr="00F01A88">
        <w:rPr>
          <w:rFonts w:ascii="Calibri" w:hAnsi="Calibri" w:cs="Calibri"/>
        </w:rPr>
        <w:t>Stock exchanges may restrict exercise of options in specified circumstances, impacting portfolio value.</w:t>
      </w:r>
    </w:p>
    <w:p w14:paraId="4994AA63" w14:textId="77777777" w:rsidR="00DB315A" w:rsidRPr="00F01A88" w:rsidRDefault="00A73B02">
      <w:pPr>
        <w:pStyle w:val="ListParagraph"/>
        <w:numPr>
          <w:ilvl w:val="0"/>
          <w:numId w:val="2"/>
        </w:numPr>
        <w:spacing w:after="100"/>
        <w:rPr>
          <w:rFonts w:ascii="Calibri" w:hAnsi="Calibri" w:cs="Calibri"/>
        </w:rPr>
      </w:pPr>
      <w:r w:rsidRPr="00F01A88">
        <w:rPr>
          <w:rFonts w:ascii="Calibri" w:hAnsi="Calibri" w:cs="Calibri"/>
          <w:b/>
          <w:bCs/>
        </w:rPr>
        <w:t xml:space="preserve">Operational/Circuit Risk: </w:t>
      </w:r>
      <w:r w:rsidRPr="00F01A88">
        <w:rPr>
          <w:rFonts w:ascii="Calibri" w:hAnsi="Calibri" w:cs="Calibri"/>
        </w:rPr>
        <w:t>Execution of derivative transactions may become difficult during insufficient bids or trading suspension due to price limits/circuit breakers.</w:t>
      </w:r>
    </w:p>
    <w:p w14:paraId="4994AA64" w14:textId="77777777" w:rsidR="00DB315A" w:rsidRPr="00F01A88" w:rsidRDefault="00A73B02">
      <w:pPr>
        <w:pStyle w:val="ListParagraph"/>
        <w:numPr>
          <w:ilvl w:val="0"/>
          <w:numId w:val="2"/>
        </w:numPr>
        <w:spacing w:after="100"/>
        <w:rPr>
          <w:rFonts w:ascii="Calibri" w:hAnsi="Calibri" w:cs="Calibri"/>
        </w:rPr>
      </w:pPr>
      <w:r w:rsidRPr="00F01A88">
        <w:rPr>
          <w:rFonts w:ascii="Calibri" w:hAnsi="Calibri" w:cs="Calibri"/>
          <w:b/>
          <w:bCs/>
        </w:rPr>
        <w:t xml:space="preserve">Interest Rate Swap (IRS) / FRA Risk: </w:t>
      </w:r>
      <w:r w:rsidRPr="00F01A88">
        <w:rPr>
          <w:rFonts w:ascii="Calibri" w:hAnsi="Calibri" w:cs="Calibri"/>
        </w:rPr>
        <w:t>Requires adequate controls to monitor mis-pricing, counterparty (credit) risk, liquidity risk, and adverse price movement risk.</w:t>
      </w:r>
    </w:p>
    <w:p w14:paraId="4994AA65" w14:textId="77777777" w:rsidR="00DB315A" w:rsidRPr="00F01A88" w:rsidRDefault="00A73B02">
      <w:pPr>
        <w:pStyle w:val="Heading2"/>
        <w:spacing w:before="240" w:after="120"/>
        <w:rPr>
          <w:rFonts w:ascii="Calibri" w:hAnsi="Calibri" w:cs="Calibri"/>
          <w:sz w:val="20"/>
          <w:szCs w:val="20"/>
        </w:rPr>
      </w:pPr>
      <w:r w:rsidRPr="00F01A88">
        <w:rPr>
          <w:rFonts w:ascii="Calibri" w:hAnsi="Calibri" w:cs="Calibri"/>
          <w:sz w:val="20"/>
          <w:szCs w:val="20"/>
        </w:rPr>
        <w:t>5. Risks of Writing Covered Call Options on Equity Shares</w:t>
      </w:r>
    </w:p>
    <w:p w14:paraId="4994AA66" w14:textId="77777777" w:rsidR="00DB315A" w:rsidRPr="00F01A88" w:rsidRDefault="00A73B02">
      <w:pPr>
        <w:pStyle w:val="ListParagraph"/>
        <w:numPr>
          <w:ilvl w:val="0"/>
          <w:numId w:val="2"/>
        </w:numPr>
        <w:spacing w:after="100"/>
        <w:rPr>
          <w:rFonts w:ascii="Calibri" w:hAnsi="Calibri" w:cs="Calibri"/>
        </w:rPr>
      </w:pPr>
      <w:r w:rsidRPr="00F01A88">
        <w:rPr>
          <w:rFonts w:ascii="Calibri" w:hAnsi="Calibri" w:cs="Calibri"/>
          <w:b/>
          <w:bCs/>
        </w:rPr>
        <w:t xml:space="preserve">Capped Upside Risk: </w:t>
      </w:r>
      <w:r w:rsidRPr="00F01A88">
        <w:rPr>
          <w:rFonts w:ascii="Calibri" w:hAnsi="Calibri" w:cs="Calibri"/>
        </w:rPr>
        <w:t>Profit from call-writing is capped at the premium received, while downside from the underlying is reduced only to the extent of the premium — writer participates in losses beyond the cushion.</w:t>
      </w:r>
    </w:p>
    <w:p w14:paraId="4994AA67" w14:textId="77777777" w:rsidR="00DB315A" w:rsidRPr="00F01A88" w:rsidRDefault="00A73B02">
      <w:pPr>
        <w:pStyle w:val="ListParagraph"/>
        <w:numPr>
          <w:ilvl w:val="0"/>
          <w:numId w:val="2"/>
        </w:numPr>
        <w:spacing w:after="100"/>
        <w:rPr>
          <w:rFonts w:ascii="Calibri" w:hAnsi="Calibri" w:cs="Calibri"/>
        </w:rPr>
      </w:pPr>
      <w:r w:rsidRPr="00F01A88">
        <w:rPr>
          <w:rFonts w:ascii="Calibri" w:hAnsi="Calibri" w:cs="Calibri"/>
          <w:b/>
          <w:bCs/>
        </w:rPr>
        <w:t xml:space="preserve">Unwind / Exit Risk: </w:t>
      </w:r>
      <w:r w:rsidRPr="00F01A88">
        <w:rPr>
          <w:rFonts w:ascii="Calibri" w:hAnsi="Calibri" w:cs="Calibri"/>
        </w:rPr>
        <w:t>If covered calls are written to the maximum permitted extent, the Scheme may be unable to sell underlying shares immediately on a change of view; options must be unwound before the stock position can be liquidated, which can cause loss of opportunity or exit issues if the strike becomes illiquid.</w:t>
      </w:r>
    </w:p>
    <w:p w14:paraId="4994AA68" w14:textId="77777777" w:rsidR="00DB315A" w:rsidRPr="00F01A88" w:rsidRDefault="00A73B02">
      <w:pPr>
        <w:pStyle w:val="ListParagraph"/>
        <w:numPr>
          <w:ilvl w:val="0"/>
          <w:numId w:val="2"/>
        </w:numPr>
        <w:spacing w:after="100"/>
        <w:rPr>
          <w:rFonts w:ascii="Calibri" w:hAnsi="Calibri" w:cs="Calibri"/>
        </w:rPr>
      </w:pPr>
      <w:r w:rsidRPr="00F01A88">
        <w:rPr>
          <w:rFonts w:ascii="Calibri" w:hAnsi="Calibri" w:cs="Calibri"/>
          <w:b/>
          <w:bCs/>
        </w:rPr>
        <w:t xml:space="preserve">Opportunity Loss Risk: </w:t>
      </w:r>
      <w:r w:rsidRPr="00F01A88">
        <w:rPr>
          <w:rFonts w:ascii="Calibri" w:hAnsi="Calibri" w:cs="Calibri"/>
        </w:rPr>
        <w:t>When share price appreciation exceeds the premium received, the Scheme forgoes the additional upside.</w:t>
      </w:r>
    </w:p>
    <w:p w14:paraId="4994AA69" w14:textId="77777777" w:rsidR="00DB315A" w:rsidRPr="00F01A88" w:rsidRDefault="00A73B02">
      <w:pPr>
        <w:pStyle w:val="ListParagraph"/>
        <w:numPr>
          <w:ilvl w:val="0"/>
          <w:numId w:val="2"/>
        </w:numPr>
        <w:spacing w:after="100"/>
        <w:rPr>
          <w:rFonts w:ascii="Calibri" w:hAnsi="Calibri" w:cs="Calibri"/>
        </w:rPr>
      </w:pPr>
      <w:r w:rsidRPr="00F01A88">
        <w:rPr>
          <w:rFonts w:ascii="Calibri" w:hAnsi="Calibri" w:cs="Calibri"/>
          <w:b/>
          <w:bCs/>
        </w:rPr>
        <w:lastRenderedPageBreak/>
        <w:t xml:space="preserve">Exposure Limit Risk: </w:t>
      </w:r>
      <w:r w:rsidRPr="00F01A88">
        <w:rPr>
          <w:rFonts w:ascii="Calibri" w:hAnsi="Calibri" w:cs="Calibri"/>
        </w:rPr>
        <w:t>Gross exposure on account of options premium (paid and received) must stay within regulatory limits (not exceeding 20% of net assets for premium paid), which may restrict the Scheme's ability to buy further options.</w:t>
      </w:r>
    </w:p>
    <w:p w14:paraId="4994AA6A" w14:textId="77777777" w:rsidR="00DB315A" w:rsidRPr="00F01A88" w:rsidRDefault="00A73B02">
      <w:pPr>
        <w:pStyle w:val="Heading2"/>
        <w:spacing w:before="240" w:after="120"/>
        <w:rPr>
          <w:rFonts w:ascii="Calibri" w:hAnsi="Calibri" w:cs="Calibri"/>
          <w:sz w:val="20"/>
          <w:szCs w:val="20"/>
        </w:rPr>
      </w:pPr>
      <w:r w:rsidRPr="00F01A88">
        <w:rPr>
          <w:rFonts w:ascii="Calibri" w:hAnsi="Calibri" w:cs="Calibri"/>
          <w:sz w:val="20"/>
          <w:szCs w:val="20"/>
        </w:rPr>
        <w:t>6. Risk Associated with Segregated Portfolio</w:t>
      </w:r>
    </w:p>
    <w:p w14:paraId="4994AA6B" w14:textId="77777777" w:rsidR="00DB315A" w:rsidRPr="00F01A88" w:rsidRDefault="00A73B02">
      <w:pPr>
        <w:pStyle w:val="ListParagraph"/>
        <w:numPr>
          <w:ilvl w:val="0"/>
          <w:numId w:val="2"/>
        </w:numPr>
        <w:spacing w:after="100"/>
        <w:rPr>
          <w:rFonts w:ascii="Calibri" w:hAnsi="Calibri" w:cs="Calibri"/>
        </w:rPr>
      </w:pPr>
      <w:r w:rsidRPr="00F01A88">
        <w:rPr>
          <w:rFonts w:ascii="Calibri" w:hAnsi="Calibri" w:cs="Calibri"/>
        </w:rPr>
        <w:t>Investors holding units of a segregated portfolio (created on a credit event affecting a debt/money-market instrument) may not be able to liquidate their holding until recovery of money from the issuer.</w:t>
      </w:r>
    </w:p>
    <w:p w14:paraId="4994AA6C" w14:textId="77777777" w:rsidR="00DB315A" w:rsidRPr="00F01A88" w:rsidRDefault="00A73B02">
      <w:pPr>
        <w:pStyle w:val="ListParagraph"/>
        <w:numPr>
          <w:ilvl w:val="0"/>
          <w:numId w:val="2"/>
        </w:numPr>
        <w:spacing w:after="100"/>
        <w:rPr>
          <w:rFonts w:ascii="Calibri" w:hAnsi="Calibri" w:cs="Calibri"/>
        </w:rPr>
      </w:pPr>
      <w:r w:rsidRPr="00F01A88">
        <w:rPr>
          <w:rFonts w:ascii="Calibri" w:hAnsi="Calibri" w:cs="Calibri"/>
        </w:rPr>
        <w:t>Securities comprising the segregated portfolio may not realise any value.</w:t>
      </w:r>
    </w:p>
    <w:p w14:paraId="4994AA6D" w14:textId="77777777" w:rsidR="00DB315A" w:rsidRPr="00F01A88" w:rsidRDefault="00A73B02">
      <w:pPr>
        <w:pStyle w:val="ListParagraph"/>
        <w:numPr>
          <w:ilvl w:val="0"/>
          <w:numId w:val="2"/>
        </w:numPr>
        <w:spacing w:after="100"/>
        <w:rPr>
          <w:rFonts w:ascii="Calibri" w:hAnsi="Calibri" w:cs="Calibri"/>
        </w:rPr>
      </w:pPr>
      <w:r w:rsidRPr="00F01A88">
        <w:rPr>
          <w:rFonts w:ascii="Calibri" w:hAnsi="Calibri" w:cs="Calibri"/>
        </w:rPr>
        <w:t>Even if units of a segregated portfolio are listed, listing does not guarantee liquidity; trading price may be significantly lower than the prevailing NAV.</w:t>
      </w:r>
    </w:p>
    <w:p w14:paraId="4994AA6E" w14:textId="77777777" w:rsidR="00DB315A" w:rsidRPr="00F01A88" w:rsidRDefault="00A73B02">
      <w:pPr>
        <w:pStyle w:val="Heading2"/>
        <w:spacing w:before="240" w:after="120"/>
        <w:rPr>
          <w:rFonts w:ascii="Calibri" w:hAnsi="Calibri" w:cs="Calibri"/>
          <w:sz w:val="20"/>
          <w:szCs w:val="20"/>
        </w:rPr>
      </w:pPr>
      <w:r w:rsidRPr="00F01A88">
        <w:rPr>
          <w:rFonts w:ascii="Calibri" w:hAnsi="Calibri" w:cs="Calibri"/>
          <w:sz w:val="20"/>
          <w:szCs w:val="20"/>
        </w:rPr>
        <w:t>7. Risk Associated with Transacting through Email (Non-Individual Investors)</w:t>
      </w:r>
    </w:p>
    <w:p w14:paraId="4994AA75" w14:textId="310AEC96" w:rsidR="00DB315A" w:rsidRPr="00F01A88" w:rsidRDefault="00A73B02" w:rsidP="005261F6">
      <w:pPr>
        <w:pStyle w:val="ListParagraph"/>
        <w:numPr>
          <w:ilvl w:val="0"/>
          <w:numId w:val="2"/>
        </w:numPr>
        <w:spacing w:after="100"/>
        <w:rPr>
          <w:rFonts w:ascii="Calibri" w:hAnsi="Calibri" w:cs="Calibri"/>
        </w:rPr>
      </w:pPr>
      <w:r w:rsidRPr="00F01A88">
        <w:rPr>
          <w:rFonts w:ascii="Calibri" w:hAnsi="Calibri" w:cs="Calibri"/>
        </w:rPr>
        <w:t>Email-based instructions are inherently vulnerable to interception, unauthorized access, phishing, spoofing, failed delivery and unintended transmission. The AMC does not accept responsibility for loss, damage or inconvenience arising from errors, delays, non-receipt or unauthorized access associated with transacting through email.</w:t>
      </w:r>
    </w:p>
    <w:sectPr w:rsidR="00DB315A" w:rsidRPr="00F01A88">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B31B0A"/>
    <w:multiLevelType w:val="hybridMultilevel"/>
    <w:tmpl w:val="F0E2984E"/>
    <w:lvl w:ilvl="0" w:tplc="943C6146">
      <w:start w:val="1"/>
      <w:numFmt w:val="bullet"/>
      <w:lvlText w:val="•"/>
      <w:lvlJc w:val="left"/>
      <w:pPr>
        <w:ind w:left="360" w:hanging="360"/>
      </w:pPr>
    </w:lvl>
    <w:lvl w:ilvl="1" w:tplc="3842A3E6">
      <w:numFmt w:val="decimal"/>
      <w:lvlText w:val=""/>
      <w:lvlJc w:val="left"/>
    </w:lvl>
    <w:lvl w:ilvl="2" w:tplc="3B4651E0">
      <w:numFmt w:val="decimal"/>
      <w:lvlText w:val=""/>
      <w:lvlJc w:val="left"/>
    </w:lvl>
    <w:lvl w:ilvl="3" w:tplc="8F960F82">
      <w:numFmt w:val="decimal"/>
      <w:lvlText w:val=""/>
      <w:lvlJc w:val="left"/>
    </w:lvl>
    <w:lvl w:ilvl="4" w:tplc="2E246B8C">
      <w:numFmt w:val="decimal"/>
      <w:lvlText w:val=""/>
      <w:lvlJc w:val="left"/>
    </w:lvl>
    <w:lvl w:ilvl="5" w:tplc="7CDC77B2">
      <w:numFmt w:val="decimal"/>
      <w:lvlText w:val=""/>
      <w:lvlJc w:val="left"/>
    </w:lvl>
    <w:lvl w:ilvl="6" w:tplc="4A02C39C">
      <w:numFmt w:val="decimal"/>
      <w:lvlText w:val=""/>
      <w:lvlJc w:val="left"/>
    </w:lvl>
    <w:lvl w:ilvl="7" w:tplc="B448E108">
      <w:numFmt w:val="decimal"/>
      <w:lvlText w:val=""/>
      <w:lvlJc w:val="left"/>
    </w:lvl>
    <w:lvl w:ilvl="8" w:tplc="81EEFAD6">
      <w:numFmt w:val="decimal"/>
      <w:lvlText w:val=""/>
      <w:lvlJc w:val="left"/>
    </w:lvl>
  </w:abstractNum>
  <w:abstractNum w:abstractNumId="1" w15:restartNumberingAfterBreak="0">
    <w:nsid w:val="675206CD"/>
    <w:multiLevelType w:val="hybridMultilevel"/>
    <w:tmpl w:val="325A2358"/>
    <w:lvl w:ilvl="0" w:tplc="39C6EBC0">
      <w:start w:val="1"/>
      <w:numFmt w:val="bullet"/>
      <w:lvlText w:val="●"/>
      <w:lvlJc w:val="left"/>
      <w:pPr>
        <w:ind w:left="720" w:hanging="360"/>
      </w:pPr>
    </w:lvl>
    <w:lvl w:ilvl="1" w:tplc="C644AB5C">
      <w:start w:val="1"/>
      <w:numFmt w:val="bullet"/>
      <w:lvlText w:val="○"/>
      <w:lvlJc w:val="left"/>
      <w:pPr>
        <w:ind w:left="1440" w:hanging="360"/>
      </w:pPr>
    </w:lvl>
    <w:lvl w:ilvl="2" w:tplc="54B86726">
      <w:start w:val="1"/>
      <w:numFmt w:val="bullet"/>
      <w:lvlText w:val="■"/>
      <w:lvlJc w:val="left"/>
      <w:pPr>
        <w:ind w:left="2160" w:hanging="360"/>
      </w:pPr>
    </w:lvl>
    <w:lvl w:ilvl="3" w:tplc="86366C84">
      <w:start w:val="1"/>
      <w:numFmt w:val="bullet"/>
      <w:lvlText w:val="●"/>
      <w:lvlJc w:val="left"/>
      <w:pPr>
        <w:ind w:left="2880" w:hanging="360"/>
      </w:pPr>
    </w:lvl>
    <w:lvl w:ilvl="4" w:tplc="8D9CFAF2">
      <w:start w:val="1"/>
      <w:numFmt w:val="bullet"/>
      <w:lvlText w:val="○"/>
      <w:lvlJc w:val="left"/>
      <w:pPr>
        <w:ind w:left="3600" w:hanging="360"/>
      </w:pPr>
    </w:lvl>
    <w:lvl w:ilvl="5" w:tplc="BED481FE">
      <w:start w:val="1"/>
      <w:numFmt w:val="bullet"/>
      <w:lvlText w:val="■"/>
      <w:lvlJc w:val="left"/>
      <w:pPr>
        <w:ind w:left="4320" w:hanging="360"/>
      </w:pPr>
    </w:lvl>
    <w:lvl w:ilvl="6" w:tplc="52560C98">
      <w:start w:val="1"/>
      <w:numFmt w:val="bullet"/>
      <w:lvlText w:val="●"/>
      <w:lvlJc w:val="left"/>
      <w:pPr>
        <w:ind w:left="5040" w:hanging="360"/>
      </w:pPr>
    </w:lvl>
    <w:lvl w:ilvl="7" w:tplc="745416FA">
      <w:start w:val="1"/>
      <w:numFmt w:val="bullet"/>
      <w:lvlText w:val="●"/>
      <w:lvlJc w:val="left"/>
      <w:pPr>
        <w:ind w:left="5760" w:hanging="360"/>
      </w:pPr>
    </w:lvl>
    <w:lvl w:ilvl="8" w:tplc="C6786160">
      <w:start w:val="1"/>
      <w:numFmt w:val="bullet"/>
      <w:lvlText w:val="●"/>
      <w:lvlJc w:val="left"/>
      <w:pPr>
        <w:ind w:left="6480" w:hanging="360"/>
      </w:pPr>
    </w:lvl>
  </w:abstractNum>
  <w:num w:numId="1" w16cid:durableId="2011055260">
    <w:abstractNumId w:val="1"/>
    <w:lvlOverride w:ilvl="0">
      <w:startOverride w:val="1"/>
    </w:lvlOverride>
  </w:num>
  <w:num w:numId="2" w16cid:durableId="138602352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315A"/>
    <w:rsid w:val="00181FE2"/>
    <w:rsid w:val="00340C8D"/>
    <w:rsid w:val="00362479"/>
    <w:rsid w:val="0050204A"/>
    <w:rsid w:val="005261F6"/>
    <w:rsid w:val="005722DB"/>
    <w:rsid w:val="007B10C2"/>
    <w:rsid w:val="00A73B02"/>
    <w:rsid w:val="00B544A2"/>
    <w:rsid w:val="00CF3C97"/>
    <w:rsid w:val="00D156D1"/>
    <w:rsid w:val="00D856E2"/>
    <w:rsid w:val="00DB315A"/>
    <w:rsid w:val="00DC1832"/>
    <w:rsid w:val="00F01A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94AA3B"/>
  <w15:docId w15:val="{94700135-D476-4C30-B780-623E287CB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1075</Words>
  <Characters>6131</Characters>
  <Application>Microsoft Office Word</Application>
  <DocSecurity>0</DocSecurity>
  <Lines>51</Lines>
  <Paragraphs>14</Paragraphs>
  <ScaleCrop>false</ScaleCrop>
  <Company/>
  <LinksUpToDate>false</LinksUpToDate>
  <CharactersWithSpaces>7192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Rishabh Kabra</cp:lastModifiedBy>
  <cp:revision>9</cp:revision>
  <dcterms:created xsi:type="dcterms:W3CDTF">2026-08-24T05:19:00Z</dcterms:created>
  <dcterms:modified xsi:type="dcterms:W3CDTF">2026-08-24T08:41:00Z</dcterms:modified>
</cp:coreProperties>
</file>