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0FDB1" w14:textId="09DFB189" w:rsidR="00157010" w:rsidRDefault="00157010" w:rsidP="00157010">
      <w:pPr>
        <w:jc w:val="center"/>
        <w:rPr>
          <w:b/>
          <w:sz w:val="28"/>
          <w:szCs w:val="28"/>
          <w:u w:val="single"/>
        </w:rPr>
      </w:pPr>
    </w:p>
    <w:tbl>
      <w:tblPr>
        <w:tblStyle w:val="TableGrid"/>
        <w:tblW w:w="10349" w:type="dxa"/>
        <w:tblInd w:w="-431" w:type="dxa"/>
        <w:tblLook w:val="04A0" w:firstRow="1" w:lastRow="0" w:firstColumn="1" w:lastColumn="0" w:noHBand="0" w:noVBand="1"/>
      </w:tblPr>
      <w:tblGrid>
        <w:gridCol w:w="852"/>
        <w:gridCol w:w="1842"/>
        <w:gridCol w:w="7655"/>
      </w:tblGrid>
      <w:tr w:rsidR="00157010" w14:paraId="3436B7DF" w14:textId="77777777" w:rsidTr="00850FFB">
        <w:tc>
          <w:tcPr>
            <w:tcW w:w="852" w:type="dxa"/>
            <w:shd w:val="clear" w:color="auto" w:fill="DEEAF6" w:themeFill="accent5" w:themeFillTint="33"/>
          </w:tcPr>
          <w:p w14:paraId="5CC158F3" w14:textId="77777777" w:rsidR="00157010" w:rsidRPr="0084732D" w:rsidRDefault="00157010" w:rsidP="008502BC">
            <w:pPr>
              <w:rPr>
                <w:b/>
                <w:iCs/>
                <w:color w:val="1F497D"/>
                <w:sz w:val="22"/>
                <w:szCs w:val="22"/>
              </w:rPr>
            </w:pPr>
            <w:proofErr w:type="spellStart"/>
            <w:r w:rsidRPr="0084732D">
              <w:rPr>
                <w:b/>
                <w:iCs/>
                <w:color w:val="1F497D"/>
                <w:sz w:val="22"/>
                <w:szCs w:val="22"/>
              </w:rPr>
              <w:t>Sr.</w:t>
            </w:r>
            <w:r>
              <w:rPr>
                <w:b/>
                <w:iCs/>
                <w:color w:val="1F497D"/>
                <w:sz w:val="22"/>
                <w:szCs w:val="22"/>
              </w:rPr>
              <w:t>N</w:t>
            </w:r>
            <w:r w:rsidRPr="0084732D">
              <w:rPr>
                <w:b/>
                <w:iCs/>
                <w:color w:val="1F497D"/>
                <w:sz w:val="22"/>
                <w:szCs w:val="22"/>
              </w:rPr>
              <w:t>o</w:t>
            </w:r>
            <w:proofErr w:type="spellEnd"/>
            <w:r w:rsidRPr="0084732D">
              <w:rPr>
                <w:b/>
                <w:iCs/>
                <w:color w:val="1F497D"/>
                <w:sz w:val="22"/>
                <w:szCs w:val="22"/>
              </w:rPr>
              <w:t>.</w:t>
            </w:r>
          </w:p>
        </w:tc>
        <w:tc>
          <w:tcPr>
            <w:tcW w:w="1842" w:type="dxa"/>
            <w:shd w:val="clear" w:color="auto" w:fill="DEEAF6" w:themeFill="accent5" w:themeFillTint="33"/>
          </w:tcPr>
          <w:p w14:paraId="007E409E" w14:textId="77777777" w:rsidR="00157010" w:rsidRPr="0084732D" w:rsidRDefault="00157010" w:rsidP="008502BC">
            <w:pPr>
              <w:rPr>
                <w:b/>
                <w:iCs/>
                <w:color w:val="1F497D"/>
                <w:sz w:val="22"/>
                <w:szCs w:val="22"/>
              </w:rPr>
            </w:pPr>
            <w:r w:rsidRPr="0084732D">
              <w:rPr>
                <w:b/>
                <w:iCs/>
                <w:color w:val="1F497D"/>
                <w:sz w:val="22"/>
                <w:szCs w:val="22"/>
              </w:rPr>
              <w:t>Parameter</w:t>
            </w:r>
          </w:p>
        </w:tc>
        <w:tc>
          <w:tcPr>
            <w:tcW w:w="7655" w:type="dxa"/>
            <w:shd w:val="clear" w:color="auto" w:fill="DEEAF6" w:themeFill="accent5" w:themeFillTint="33"/>
          </w:tcPr>
          <w:p w14:paraId="068194D1" w14:textId="77777777" w:rsidR="00157010" w:rsidRPr="0084732D" w:rsidRDefault="00157010" w:rsidP="008502BC">
            <w:pPr>
              <w:rPr>
                <w:b/>
                <w:iCs/>
                <w:color w:val="1F497D"/>
                <w:sz w:val="22"/>
                <w:szCs w:val="22"/>
              </w:rPr>
            </w:pPr>
            <w:r w:rsidRPr="0084732D">
              <w:rPr>
                <w:b/>
                <w:iCs/>
                <w:color w:val="1F497D"/>
                <w:sz w:val="22"/>
                <w:szCs w:val="22"/>
              </w:rPr>
              <w:t>Calculation methodology / formulae</w:t>
            </w:r>
          </w:p>
        </w:tc>
      </w:tr>
      <w:tr w:rsidR="00157010" w14:paraId="5DEC3BF5" w14:textId="77777777" w:rsidTr="00850FFB">
        <w:tc>
          <w:tcPr>
            <w:tcW w:w="852" w:type="dxa"/>
          </w:tcPr>
          <w:p w14:paraId="3238AFDA" w14:textId="77777777" w:rsidR="00157010" w:rsidRPr="0084732D" w:rsidRDefault="00157010" w:rsidP="008502BC">
            <w:pPr>
              <w:ind w:left="-102" w:right="-114"/>
              <w:jc w:val="center"/>
              <w:rPr>
                <w:bCs/>
                <w:sz w:val="22"/>
                <w:szCs w:val="22"/>
              </w:rPr>
            </w:pPr>
            <w:r w:rsidRPr="0084732D">
              <w:rPr>
                <w:bCs/>
                <w:sz w:val="22"/>
                <w:szCs w:val="22"/>
              </w:rPr>
              <w:t>1</w:t>
            </w:r>
          </w:p>
        </w:tc>
        <w:tc>
          <w:tcPr>
            <w:tcW w:w="1842" w:type="dxa"/>
          </w:tcPr>
          <w:p w14:paraId="43BEFD79" w14:textId="77777777" w:rsidR="00157010" w:rsidRDefault="00157010" w:rsidP="008502BC">
            <w:pPr>
              <w:rPr>
                <w:b/>
                <w:sz w:val="28"/>
                <w:szCs w:val="28"/>
                <w:u w:val="single"/>
              </w:rPr>
            </w:pPr>
            <w:r w:rsidRPr="00432896">
              <w:rPr>
                <w:b/>
                <w:i/>
                <w:color w:val="1F497D"/>
                <w:sz w:val="22"/>
                <w:szCs w:val="22"/>
              </w:rPr>
              <w:t>Total Expense Ratio</w:t>
            </w:r>
          </w:p>
        </w:tc>
        <w:tc>
          <w:tcPr>
            <w:tcW w:w="7655" w:type="dxa"/>
          </w:tcPr>
          <w:p w14:paraId="110EE0CA" w14:textId="77777777" w:rsidR="00157010" w:rsidRPr="00432896" w:rsidRDefault="00157010" w:rsidP="008502BC">
            <w:pPr>
              <w:jc w:val="both"/>
              <w:rPr>
                <w:sz w:val="22"/>
                <w:szCs w:val="22"/>
              </w:rPr>
            </w:pPr>
            <w:r w:rsidRPr="00432896">
              <w:rPr>
                <w:sz w:val="22"/>
                <w:szCs w:val="22"/>
              </w:rPr>
              <w:t>Weighted Average i.e. Total Expense of the month / Average Asset / number of days in month * days in a year</w:t>
            </w:r>
          </w:p>
          <w:p w14:paraId="02D26EAB" w14:textId="77777777" w:rsidR="00157010" w:rsidRDefault="00157010" w:rsidP="008502BC">
            <w:pPr>
              <w:rPr>
                <w:b/>
                <w:sz w:val="28"/>
                <w:szCs w:val="28"/>
                <w:u w:val="single"/>
              </w:rPr>
            </w:pPr>
          </w:p>
        </w:tc>
      </w:tr>
      <w:tr w:rsidR="00157010" w14:paraId="783D77DF" w14:textId="77777777" w:rsidTr="00850FFB">
        <w:tc>
          <w:tcPr>
            <w:tcW w:w="852" w:type="dxa"/>
          </w:tcPr>
          <w:p w14:paraId="4AC51BCB" w14:textId="77777777" w:rsidR="00157010" w:rsidRPr="0084732D" w:rsidRDefault="00157010" w:rsidP="008502BC">
            <w:pPr>
              <w:jc w:val="center"/>
              <w:rPr>
                <w:bCs/>
                <w:sz w:val="22"/>
                <w:szCs w:val="22"/>
              </w:rPr>
            </w:pPr>
            <w:r w:rsidRPr="0084732D">
              <w:rPr>
                <w:bCs/>
                <w:sz w:val="22"/>
                <w:szCs w:val="22"/>
              </w:rPr>
              <w:t>2</w:t>
            </w:r>
          </w:p>
        </w:tc>
        <w:tc>
          <w:tcPr>
            <w:tcW w:w="1842" w:type="dxa"/>
          </w:tcPr>
          <w:p w14:paraId="4596A6FB" w14:textId="0A61FD04" w:rsidR="00157010" w:rsidRDefault="00157010" w:rsidP="00FF0313">
            <w:pPr>
              <w:jc w:val="both"/>
              <w:rPr>
                <w:b/>
                <w:sz w:val="28"/>
                <w:szCs w:val="28"/>
                <w:u w:val="single"/>
              </w:rPr>
            </w:pPr>
            <w:r w:rsidRPr="00432896">
              <w:rPr>
                <w:b/>
                <w:i/>
                <w:color w:val="1F497D"/>
                <w:sz w:val="22"/>
                <w:szCs w:val="22"/>
              </w:rPr>
              <w:t xml:space="preserve">Sharpe Ratio </w:t>
            </w:r>
          </w:p>
        </w:tc>
        <w:tc>
          <w:tcPr>
            <w:tcW w:w="7655" w:type="dxa"/>
          </w:tcPr>
          <w:p w14:paraId="3F90D2E2" w14:textId="77777777" w:rsidR="00157010" w:rsidRPr="00432896" w:rsidRDefault="00157010" w:rsidP="008502BC">
            <w:pPr>
              <w:spacing w:after="120"/>
              <w:jc w:val="both"/>
              <w:rPr>
                <w:sz w:val="22"/>
                <w:szCs w:val="22"/>
              </w:rPr>
            </w:pPr>
            <w:r w:rsidRPr="00432896">
              <w:rPr>
                <w:sz w:val="22"/>
                <w:szCs w:val="22"/>
              </w:rPr>
              <w:t>(Ri-Rf)/</w:t>
            </w:r>
            <w:proofErr w:type="spellStart"/>
            <w:r w:rsidRPr="00432896">
              <w:rPr>
                <w:sz w:val="22"/>
                <w:szCs w:val="22"/>
              </w:rPr>
              <w:t>Stdev</w:t>
            </w:r>
            <w:proofErr w:type="spellEnd"/>
            <w:r w:rsidRPr="00432896">
              <w:rPr>
                <w:sz w:val="22"/>
                <w:szCs w:val="22"/>
              </w:rPr>
              <w:t xml:space="preserve"> of Fund returns</w:t>
            </w:r>
          </w:p>
          <w:p w14:paraId="31F710ED" w14:textId="77777777" w:rsidR="00157010" w:rsidRPr="00432896" w:rsidRDefault="00157010" w:rsidP="008502BC">
            <w:pPr>
              <w:ind w:left="720"/>
              <w:jc w:val="both"/>
              <w:rPr>
                <w:sz w:val="22"/>
                <w:szCs w:val="22"/>
              </w:rPr>
            </w:pPr>
            <w:proofErr w:type="gramStart"/>
            <w:r w:rsidRPr="00432896">
              <w:rPr>
                <w:sz w:val="22"/>
                <w:szCs w:val="22"/>
              </w:rPr>
              <w:t>Where</w:t>
            </w:r>
            <w:proofErr w:type="gramEnd"/>
            <w:r w:rsidRPr="00432896">
              <w:rPr>
                <w:sz w:val="22"/>
                <w:szCs w:val="22"/>
              </w:rPr>
              <w:t xml:space="preserve">, </w:t>
            </w:r>
          </w:p>
          <w:p w14:paraId="6E51325B" w14:textId="77777777" w:rsidR="00157010" w:rsidRPr="00432896" w:rsidRDefault="00157010" w:rsidP="008502BC">
            <w:pPr>
              <w:ind w:left="720"/>
              <w:jc w:val="both"/>
              <w:rPr>
                <w:sz w:val="22"/>
                <w:szCs w:val="22"/>
              </w:rPr>
            </w:pPr>
            <w:r w:rsidRPr="00432896">
              <w:rPr>
                <w:sz w:val="22"/>
                <w:szCs w:val="22"/>
              </w:rPr>
              <w:t>Ri= Fund Return</w:t>
            </w:r>
          </w:p>
          <w:p w14:paraId="3C05BA3B" w14:textId="77777777" w:rsidR="00157010" w:rsidRDefault="00157010" w:rsidP="008502BC">
            <w:pPr>
              <w:ind w:left="720"/>
              <w:jc w:val="both"/>
              <w:rPr>
                <w:sz w:val="22"/>
                <w:szCs w:val="22"/>
              </w:rPr>
            </w:pPr>
            <w:r w:rsidRPr="00432896">
              <w:rPr>
                <w:sz w:val="22"/>
                <w:szCs w:val="22"/>
              </w:rPr>
              <w:t>Rf = Risk free Return (TREPs)</w:t>
            </w:r>
          </w:p>
          <w:p w14:paraId="42C635EF" w14:textId="77777777" w:rsidR="00157010" w:rsidRPr="00432896" w:rsidRDefault="00157010" w:rsidP="008502BC">
            <w:pPr>
              <w:jc w:val="both"/>
              <w:rPr>
                <w:sz w:val="22"/>
                <w:szCs w:val="22"/>
              </w:rPr>
            </w:pPr>
          </w:p>
          <w:p w14:paraId="056E6C4D" w14:textId="0CB8C307" w:rsidR="00157010" w:rsidRPr="004B5311" w:rsidRDefault="00157010" w:rsidP="004B5311">
            <w:pPr>
              <w:jc w:val="both"/>
              <w:rPr>
                <w:rFonts w:eastAsia="Calibri"/>
              </w:rPr>
            </w:pPr>
            <w:r w:rsidRPr="004B5311">
              <w:t xml:space="preserve">TREPs would serve as a more appropriate </w:t>
            </w:r>
            <w:proofErr w:type="gramStart"/>
            <w:r w:rsidRPr="004B5311">
              <w:t>risk free</w:t>
            </w:r>
            <w:proofErr w:type="gramEnd"/>
            <w:r w:rsidRPr="004B5311">
              <w:t xml:space="preserve"> rate instead of MIBOR as Mutual Funds deploy idle cash in TREPs.</w:t>
            </w:r>
          </w:p>
        </w:tc>
      </w:tr>
      <w:tr w:rsidR="00157010" w14:paraId="2588ABB7" w14:textId="77777777" w:rsidTr="00850FFB">
        <w:tc>
          <w:tcPr>
            <w:tcW w:w="852" w:type="dxa"/>
          </w:tcPr>
          <w:p w14:paraId="692CA52A" w14:textId="77777777" w:rsidR="00157010" w:rsidRPr="0084732D" w:rsidRDefault="00157010" w:rsidP="008502BC">
            <w:pPr>
              <w:ind w:left="-102" w:right="-114"/>
              <w:jc w:val="center"/>
              <w:rPr>
                <w:bCs/>
                <w:sz w:val="22"/>
                <w:szCs w:val="22"/>
              </w:rPr>
            </w:pPr>
            <w:r>
              <w:rPr>
                <w:bCs/>
                <w:sz w:val="22"/>
                <w:szCs w:val="22"/>
              </w:rPr>
              <w:t>3</w:t>
            </w:r>
          </w:p>
        </w:tc>
        <w:tc>
          <w:tcPr>
            <w:tcW w:w="1842" w:type="dxa"/>
          </w:tcPr>
          <w:p w14:paraId="70C91F89" w14:textId="6C3444EA" w:rsidR="00157010" w:rsidRPr="008B787D" w:rsidRDefault="00157010" w:rsidP="008502BC">
            <w:pPr>
              <w:jc w:val="both"/>
              <w:rPr>
                <w:b/>
                <w:i/>
                <w:color w:val="1F497D"/>
                <w:sz w:val="22"/>
                <w:szCs w:val="22"/>
              </w:rPr>
            </w:pPr>
            <w:r w:rsidRPr="00432896">
              <w:rPr>
                <w:b/>
                <w:i/>
                <w:color w:val="1F497D"/>
                <w:sz w:val="22"/>
                <w:szCs w:val="22"/>
              </w:rPr>
              <w:t xml:space="preserve">Beta Ratio </w:t>
            </w:r>
          </w:p>
        </w:tc>
        <w:tc>
          <w:tcPr>
            <w:tcW w:w="7655" w:type="dxa"/>
          </w:tcPr>
          <w:p w14:paraId="6ECBBE75" w14:textId="77777777" w:rsidR="00157010" w:rsidRPr="00432896" w:rsidRDefault="00157010" w:rsidP="008502BC">
            <w:pPr>
              <w:jc w:val="both"/>
              <w:rPr>
                <w:sz w:val="22"/>
                <w:szCs w:val="22"/>
              </w:rPr>
            </w:pPr>
            <w:r w:rsidRPr="00432896">
              <w:rPr>
                <w:sz w:val="22"/>
                <w:szCs w:val="22"/>
              </w:rPr>
              <w:t>Covariance of NAV returns vs Index returns/ Variance of Index returns</w:t>
            </w:r>
          </w:p>
          <w:p w14:paraId="195679BB" w14:textId="77777777" w:rsidR="00157010" w:rsidRPr="008B787D" w:rsidRDefault="00157010" w:rsidP="008502BC">
            <w:pPr>
              <w:jc w:val="both"/>
              <w:rPr>
                <w:sz w:val="22"/>
                <w:szCs w:val="22"/>
              </w:rPr>
            </w:pPr>
            <w:r w:rsidRPr="00432896">
              <w:rPr>
                <w:sz w:val="22"/>
                <w:szCs w:val="22"/>
              </w:rPr>
              <w:t xml:space="preserve">Further, for Beta, as Benchmark Total Return may not be easily available /calculated, price return is suggested to be used. </w:t>
            </w:r>
          </w:p>
        </w:tc>
      </w:tr>
      <w:tr w:rsidR="00157010" w14:paraId="03582957" w14:textId="77777777" w:rsidTr="00850FFB">
        <w:tc>
          <w:tcPr>
            <w:tcW w:w="852" w:type="dxa"/>
          </w:tcPr>
          <w:p w14:paraId="0730487A" w14:textId="77777777" w:rsidR="00157010" w:rsidRPr="0084732D" w:rsidRDefault="00157010" w:rsidP="008502BC">
            <w:pPr>
              <w:ind w:left="-102" w:right="-114"/>
              <w:jc w:val="center"/>
              <w:rPr>
                <w:bCs/>
                <w:sz w:val="22"/>
                <w:szCs w:val="22"/>
              </w:rPr>
            </w:pPr>
            <w:r>
              <w:rPr>
                <w:bCs/>
                <w:sz w:val="22"/>
                <w:szCs w:val="22"/>
              </w:rPr>
              <w:t>4</w:t>
            </w:r>
          </w:p>
        </w:tc>
        <w:tc>
          <w:tcPr>
            <w:tcW w:w="1842" w:type="dxa"/>
          </w:tcPr>
          <w:p w14:paraId="62591E40" w14:textId="2C44A345" w:rsidR="00157010" w:rsidRPr="00432896" w:rsidRDefault="00157010" w:rsidP="008502BC">
            <w:pPr>
              <w:jc w:val="both"/>
              <w:rPr>
                <w:b/>
                <w:i/>
                <w:color w:val="1F497D"/>
                <w:sz w:val="22"/>
                <w:szCs w:val="22"/>
              </w:rPr>
            </w:pPr>
            <w:r w:rsidRPr="00432896">
              <w:rPr>
                <w:b/>
                <w:i/>
                <w:color w:val="1F497D"/>
                <w:sz w:val="22"/>
                <w:szCs w:val="22"/>
              </w:rPr>
              <w:t xml:space="preserve">Standard Deviation of Returns </w:t>
            </w:r>
          </w:p>
        </w:tc>
        <w:tc>
          <w:tcPr>
            <w:tcW w:w="7655" w:type="dxa"/>
          </w:tcPr>
          <w:p w14:paraId="709B5580" w14:textId="18926AEA" w:rsidR="00850FFB" w:rsidRPr="00432896" w:rsidRDefault="00157010" w:rsidP="008502BC">
            <w:pPr>
              <w:rPr>
                <w:sz w:val="22"/>
                <w:szCs w:val="22"/>
              </w:rPr>
            </w:pPr>
            <w:r w:rsidRPr="00432896">
              <w:rPr>
                <w:rFonts w:eastAsia="Calibri"/>
                <w:sz w:val="22"/>
                <w:szCs w:val="22"/>
              </w:rPr>
              <w:t>Standard Deviation should reflect for the Fund as well as the relevant benchmark</w:t>
            </w:r>
            <w:r w:rsidR="00850FFB">
              <w:rPr>
                <w:sz w:val="22"/>
                <w:szCs w:val="22"/>
              </w:rPr>
              <w:t xml:space="preserve"> –</w:t>
            </w:r>
          </w:p>
          <w:p w14:paraId="2E18A823" w14:textId="77777777" w:rsidR="00157010" w:rsidRPr="00432896" w:rsidRDefault="00157010" w:rsidP="008502BC">
            <w:pPr>
              <w:rPr>
                <w:sz w:val="22"/>
                <w:szCs w:val="22"/>
              </w:rPr>
            </w:pPr>
            <w:r w:rsidRPr="00432896">
              <w:rPr>
                <w:noProof/>
                <w:sz w:val="22"/>
                <w:szCs w:val="22"/>
                <w:lang w:val="en-IN" w:eastAsia="en-IN"/>
              </w:rPr>
              <w:drawing>
                <wp:inline distT="0" distB="0" distL="0" distR="0" wp14:anchorId="72167312" wp14:editId="0E44B9A0">
                  <wp:extent cx="1074420" cy="605392"/>
                  <wp:effectExtent l="0" t="0" r="0" b="4445"/>
                  <wp:docPr id="1" name="Picture 1" descr="A mathematical equatio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mathematical equation with black text&#10;&#10;Description automatically generated"/>
                          <pic:cNvPicPr/>
                        </pic:nvPicPr>
                        <pic:blipFill>
                          <a:blip r:embed="rId5"/>
                          <a:stretch>
                            <a:fillRect/>
                          </a:stretch>
                        </pic:blipFill>
                        <pic:spPr>
                          <a:xfrm>
                            <a:off x="0" y="0"/>
                            <a:ext cx="1110937" cy="625968"/>
                          </a:xfrm>
                          <a:prstGeom prst="rect">
                            <a:avLst/>
                          </a:prstGeom>
                        </pic:spPr>
                      </pic:pic>
                    </a:graphicData>
                  </a:graphic>
                </wp:inline>
              </w:drawing>
            </w:r>
            <w:r w:rsidRPr="00432896" w:rsidDel="00316896">
              <w:rPr>
                <w:sz w:val="22"/>
                <w:szCs w:val="22"/>
              </w:rPr>
              <w:t xml:space="preserve"> </w:t>
            </w:r>
          </w:p>
          <w:p w14:paraId="02F71F95" w14:textId="77777777" w:rsidR="00157010" w:rsidRPr="00432896" w:rsidRDefault="00157010" w:rsidP="008502BC">
            <w:pPr>
              <w:rPr>
                <w:sz w:val="22"/>
                <w:szCs w:val="22"/>
              </w:rPr>
            </w:pPr>
            <w:proofErr w:type="gramStart"/>
            <w:r w:rsidRPr="00432896">
              <w:rPr>
                <w:sz w:val="22"/>
                <w:szCs w:val="22"/>
              </w:rPr>
              <w:t>where</w:t>
            </w:r>
            <w:proofErr w:type="gramEnd"/>
            <w:r w:rsidRPr="00432896">
              <w:rPr>
                <w:sz w:val="22"/>
                <w:szCs w:val="22"/>
              </w:rPr>
              <w:t xml:space="preserve">, </w:t>
            </w:r>
          </w:p>
          <w:p w14:paraId="5D835AF0" w14:textId="77777777" w:rsidR="00157010" w:rsidRPr="00432896" w:rsidRDefault="00157010" w:rsidP="008502BC">
            <w:pPr>
              <w:ind w:left="720"/>
              <w:rPr>
                <w:sz w:val="22"/>
                <w:szCs w:val="22"/>
              </w:rPr>
            </w:pPr>
            <w:r w:rsidRPr="00432896">
              <w:rPr>
                <w:sz w:val="22"/>
                <w:szCs w:val="22"/>
              </w:rPr>
              <w:t>s = Standard Deviation</w:t>
            </w:r>
          </w:p>
          <w:p w14:paraId="134491CB" w14:textId="77777777" w:rsidR="00157010" w:rsidRPr="00432896" w:rsidRDefault="00157010" w:rsidP="008502BC">
            <w:pPr>
              <w:ind w:left="720"/>
              <w:rPr>
                <w:sz w:val="22"/>
                <w:szCs w:val="22"/>
              </w:rPr>
            </w:pPr>
            <w:r w:rsidRPr="00432896">
              <w:rPr>
                <w:sz w:val="22"/>
                <w:szCs w:val="22"/>
              </w:rPr>
              <w:t>x is the return series</w:t>
            </w:r>
          </w:p>
          <w:p w14:paraId="4899D2BE" w14:textId="77777777" w:rsidR="00157010" w:rsidRPr="00432896" w:rsidRDefault="00157010" w:rsidP="008502BC">
            <w:pPr>
              <w:ind w:left="720"/>
              <w:rPr>
                <w:sz w:val="22"/>
                <w:szCs w:val="22"/>
              </w:rPr>
            </w:pPr>
            <w:r w:rsidRPr="00432896">
              <w:rPr>
                <w:color w:val="474747"/>
                <w:sz w:val="22"/>
                <w:szCs w:val="22"/>
                <w:shd w:val="clear" w:color="auto" w:fill="FFFFFF"/>
              </w:rPr>
              <w:t>X̄</w:t>
            </w:r>
            <w:r w:rsidRPr="00432896">
              <w:rPr>
                <w:sz w:val="22"/>
                <w:szCs w:val="22"/>
              </w:rPr>
              <w:t xml:space="preserve"> is the </w:t>
            </w:r>
            <w:proofErr w:type="gramStart"/>
            <w:r w:rsidRPr="00432896">
              <w:rPr>
                <w:sz w:val="22"/>
                <w:szCs w:val="22"/>
              </w:rPr>
              <w:t>mean</w:t>
            </w:r>
            <w:proofErr w:type="gramEnd"/>
            <w:r w:rsidRPr="00432896">
              <w:rPr>
                <w:sz w:val="22"/>
                <w:szCs w:val="22"/>
              </w:rPr>
              <w:t xml:space="preserve"> of the return series</w:t>
            </w:r>
            <w:r w:rsidRPr="00432896" w:rsidDel="00316896">
              <w:rPr>
                <w:sz w:val="22"/>
                <w:szCs w:val="22"/>
              </w:rPr>
              <w:t xml:space="preserve"> </w:t>
            </w:r>
          </w:p>
          <w:p w14:paraId="50368D20" w14:textId="77777777" w:rsidR="00157010" w:rsidRPr="00432896" w:rsidRDefault="00157010" w:rsidP="008502BC">
            <w:pPr>
              <w:ind w:left="720"/>
              <w:rPr>
                <w:sz w:val="22"/>
                <w:szCs w:val="22"/>
              </w:rPr>
            </w:pPr>
            <w:r w:rsidRPr="00432896">
              <w:rPr>
                <w:sz w:val="22"/>
                <w:szCs w:val="22"/>
              </w:rPr>
              <w:t xml:space="preserve">N is the </w:t>
            </w:r>
            <w:proofErr w:type="spellStart"/>
            <w:r w:rsidRPr="00432896">
              <w:rPr>
                <w:sz w:val="22"/>
                <w:szCs w:val="22"/>
              </w:rPr>
              <w:t>no</w:t>
            </w:r>
            <w:proofErr w:type="spellEnd"/>
            <w:r w:rsidRPr="00432896">
              <w:rPr>
                <w:sz w:val="22"/>
                <w:szCs w:val="22"/>
              </w:rPr>
              <w:t xml:space="preserve"> of values</w:t>
            </w:r>
          </w:p>
          <w:p w14:paraId="57D0F71D" w14:textId="77777777" w:rsidR="00157010" w:rsidRPr="00432896" w:rsidRDefault="00157010" w:rsidP="008502BC">
            <w:pPr>
              <w:jc w:val="both"/>
              <w:rPr>
                <w:b/>
                <w:i/>
                <w:sz w:val="22"/>
                <w:szCs w:val="22"/>
              </w:rPr>
            </w:pPr>
            <w:r w:rsidRPr="00432896">
              <w:rPr>
                <w:b/>
                <w:i/>
                <w:sz w:val="22"/>
                <w:szCs w:val="22"/>
              </w:rPr>
              <w:t xml:space="preserve">Note: </w:t>
            </w:r>
          </w:p>
          <w:p w14:paraId="06A5025C" w14:textId="77777777" w:rsidR="00157010" w:rsidRPr="008B787D" w:rsidRDefault="00157010" w:rsidP="00850FFB">
            <w:pPr>
              <w:spacing w:after="120"/>
              <w:jc w:val="both"/>
              <w:rPr>
                <w:bCs/>
                <w:i/>
                <w:sz w:val="22"/>
                <w:szCs w:val="22"/>
              </w:rPr>
            </w:pPr>
            <w:r w:rsidRPr="00432896">
              <w:rPr>
                <w:bCs/>
                <w:i/>
                <w:sz w:val="22"/>
                <w:szCs w:val="22"/>
              </w:rPr>
              <w:t xml:space="preserve">Standard Deviation of returns may be measured considering the data using the </w:t>
            </w:r>
            <w:proofErr w:type="gramStart"/>
            <w:r w:rsidRPr="00432896">
              <w:rPr>
                <w:bCs/>
                <w:i/>
                <w:sz w:val="22"/>
                <w:szCs w:val="22"/>
              </w:rPr>
              <w:t>formula  STDEV.S</w:t>
            </w:r>
            <w:proofErr w:type="gramEnd"/>
            <w:r w:rsidRPr="00432896">
              <w:rPr>
                <w:bCs/>
                <w:i/>
                <w:sz w:val="22"/>
                <w:szCs w:val="22"/>
              </w:rPr>
              <w:t>() in Microsoft Excel</w:t>
            </w:r>
          </w:p>
        </w:tc>
      </w:tr>
      <w:tr w:rsidR="00157010" w14:paraId="445E61DE" w14:textId="77777777" w:rsidTr="00850FFB">
        <w:tc>
          <w:tcPr>
            <w:tcW w:w="852" w:type="dxa"/>
          </w:tcPr>
          <w:p w14:paraId="68369EA2" w14:textId="77777777" w:rsidR="00157010" w:rsidRPr="0084732D" w:rsidRDefault="00157010" w:rsidP="008502BC">
            <w:pPr>
              <w:ind w:left="-102" w:right="-114"/>
              <w:jc w:val="center"/>
              <w:rPr>
                <w:bCs/>
                <w:sz w:val="22"/>
                <w:szCs w:val="22"/>
              </w:rPr>
            </w:pPr>
            <w:r>
              <w:rPr>
                <w:bCs/>
                <w:sz w:val="22"/>
                <w:szCs w:val="22"/>
              </w:rPr>
              <w:t>5</w:t>
            </w:r>
          </w:p>
        </w:tc>
        <w:tc>
          <w:tcPr>
            <w:tcW w:w="1842" w:type="dxa"/>
          </w:tcPr>
          <w:p w14:paraId="12709741" w14:textId="77777777" w:rsidR="00157010" w:rsidRDefault="00157010" w:rsidP="008502BC">
            <w:pPr>
              <w:rPr>
                <w:b/>
                <w:sz w:val="28"/>
                <w:szCs w:val="28"/>
                <w:u w:val="single"/>
              </w:rPr>
            </w:pPr>
            <w:r w:rsidRPr="00432896">
              <w:rPr>
                <w:b/>
                <w:i/>
                <w:color w:val="1F497D"/>
                <w:sz w:val="22"/>
                <w:szCs w:val="22"/>
              </w:rPr>
              <w:t>Modified Duration</w:t>
            </w:r>
          </w:p>
        </w:tc>
        <w:tc>
          <w:tcPr>
            <w:tcW w:w="7655" w:type="dxa"/>
          </w:tcPr>
          <w:p w14:paraId="04674965" w14:textId="77777777" w:rsidR="00157010" w:rsidRPr="008B787D" w:rsidRDefault="00157010" w:rsidP="008502BC">
            <w:pPr>
              <w:jc w:val="both"/>
              <w:rPr>
                <w:bCs/>
                <w:iCs/>
                <w:color w:val="1F497D"/>
                <w:sz w:val="22"/>
                <w:szCs w:val="22"/>
              </w:rPr>
            </w:pPr>
            <w:r w:rsidRPr="00432896">
              <w:rPr>
                <w:b/>
                <w:i/>
                <w:color w:val="1F497D"/>
                <w:sz w:val="22"/>
                <w:szCs w:val="22"/>
              </w:rPr>
              <w:t xml:space="preserve">= </w:t>
            </w:r>
            <w:r w:rsidRPr="008B787D">
              <w:rPr>
                <w:bCs/>
                <w:iCs/>
                <w:color w:val="1F497D"/>
                <w:sz w:val="22"/>
                <w:szCs w:val="22"/>
              </w:rPr>
              <w:t xml:space="preserve">Macaulay Duration / (1 + </w:t>
            </w:r>
            <w:proofErr w:type="spellStart"/>
            <w:r w:rsidRPr="008B787D">
              <w:rPr>
                <w:bCs/>
                <w:iCs/>
                <w:color w:val="1F497D"/>
                <w:sz w:val="22"/>
                <w:szCs w:val="22"/>
              </w:rPr>
              <w:t>Annualised</w:t>
            </w:r>
            <w:proofErr w:type="spellEnd"/>
            <w:r w:rsidRPr="008B787D">
              <w:rPr>
                <w:bCs/>
                <w:iCs/>
                <w:color w:val="1F497D"/>
                <w:sz w:val="22"/>
                <w:szCs w:val="22"/>
              </w:rPr>
              <w:t xml:space="preserve"> Yield)</w:t>
            </w:r>
          </w:p>
          <w:p w14:paraId="097764B0" w14:textId="77777777" w:rsidR="00157010" w:rsidRDefault="00157010" w:rsidP="008502BC">
            <w:pPr>
              <w:rPr>
                <w:b/>
                <w:sz w:val="28"/>
                <w:szCs w:val="28"/>
                <w:u w:val="single"/>
              </w:rPr>
            </w:pPr>
          </w:p>
        </w:tc>
      </w:tr>
      <w:tr w:rsidR="00157010" w14:paraId="2667C008" w14:textId="77777777" w:rsidTr="00850FFB">
        <w:tc>
          <w:tcPr>
            <w:tcW w:w="852" w:type="dxa"/>
          </w:tcPr>
          <w:p w14:paraId="73DD68BF" w14:textId="77777777" w:rsidR="00157010" w:rsidRPr="0084732D" w:rsidRDefault="00157010" w:rsidP="008502BC">
            <w:pPr>
              <w:ind w:left="-102" w:right="-114"/>
              <w:jc w:val="center"/>
              <w:rPr>
                <w:bCs/>
                <w:sz w:val="22"/>
                <w:szCs w:val="22"/>
              </w:rPr>
            </w:pPr>
            <w:r w:rsidRPr="0084732D">
              <w:rPr>
                <w:bCs/>
                <w:sz w:val="22"/>
                <w:szCs w:val="22"/>
              </w:rPr>
              <w:t>6</w:t>
            </w:r>
          </w:p>
        </w:tc>
        <w:tc>
          <w:tcPr>
            <w:tcW w:w="1842" w:type="dxa"/>
          </w:tcPr>
          <w:p w14:paraId="10086532" w14:textId="77777777" w:rsidR="00157010" w:rsidRPr="008B787D" w:rsidRDefault="00157010" w:rsidP="00FF0313">
            <w:pPr>
              <w:rPr>
                <w:b/>
                <w:i/>
                <w:sz w:val="22"/>
                <w:szCs w:val="22"/>
                <w:lang w:val="en-IN"/>
              </w:rPr>
            </w:pPr>
            <w:r w:rsidRPr="00FF0313">
              <w:rPr>
                <w:b/>
                <w:i/>
                <w:color w:val="1F497D"/>
                <w:sz w:val="22"/>
                <w:szCs w:val="22"/>
              </w:rPr>
              <w:t>Macaulay Duration</w:t>
            </w:r>
            <w:r w:rsidRPr="00432896">
              <w:rPr>
                <w:b/>
                <w:i/>
                <w:sz w:val="22"/>
                <w:szCs w:val="22"/>
                <w:lang w:val="en-IN"/>
              </w:rPr>
              <w:t xml:space="preserve"> </w:t>
            </w:r>
          </w:p>
        </w:tc>
        <w:tc>
          <w:tcPr>
            <w:tcW w:w="7655" w:type="dxa"/>
          </w:tcPr>
          <w:p w14:paraId="2D1EE1BE" w14:textId="77777777" w:rsidR="00157010" w:rsidRPr="00432896" w:rsidRDefault="00157010" w:rsidP="008502BC">
            <w:pPr>
              <w:rPr>
                <w:sz w:val="22"/>
                <w:szCs w:val="22"/>
              </w:rPr>
            </w:pPr>
            <w:r w:rsidRPr="00432896">
              <w:rPr>
                <w:bCs/>
                <w:iCs/>
                <w:sz w:val="22"/>
                <w:szCs w:val="22"/>
                <w:lang w:val="en-IN"/>
              </w:rPr>
              <w:t>Macaulay Duration</w:t>
            </w:r>
            <w:r w:rsidRPr="00432896">
              <w:rPr>
                <w:sz w:val="22"/>
                <w:szCs w:val="22"/>
              </w:rPr>
              <w:t xml:space="preserve"> is a measure of the average time it takes to receive a bond's cash flows. </w:t>
            </w:r>
          </w:p>
          <w:p w14:paraId="14C700CE" w14:textId="77777777" w:rsidR="00157010" w:rsidRPr="00432896" w:rsidRDefault="00157010" w:rsidP="008502BC">
            <w:pPr>
              <w:rPr>
                <w:sz w:val="22"/>
                <w:szCs w:val="22"/>
              </w:rPr>
            </w:pPr>
            <w:r w:rsidRPr="00432896">
              <w:rPr>
                <w:sz w:val="22"/>
                <w:szCs w:val="22"/>
              </w:rPr>
              <w:t xml:space="preserve">It is calculated by summing up all the multiples of the present values of cash </w:t>
            </w:r>
            <w:proofErr w:type="gramStart"/>
            <w:r w:rsidRPr="00432896">
              <w:rPr>
                <w:sz w:val="22"/>
                <w:szCs w:val="22"/>
              </w:rPr>
              <w:t>flows</w:t>
            </w:r>
            <w:proofErr w:type="gramEnd"/>
            <w:r w:rsidRPr="00432896">
              <w:rPr>
                <w:sz w:val="22"/>
                <w:szCs w:val="22"/>
              </w:rPr>
              <w:t xml:space="preserve"> and corresponding time periods and then dividing the sum by the market bond price. It can be calculated using the following formula: </w:t>
            </w:r>
          </w:p>
          <w:p w14:paraId="31769CF4" w14:textId="77777777" w:rsidR="00157010" w:rsidRPr="00432896" w:rsidRDefault="00157010" w:rsidP="008502BC">
            <w:pPr>
              <w:rPr>
                <w:sz w:val="22"/>
                <w:szCs w:val="22"/>
                <w:lang w:val="en-IN"/>
              </w:rPr>
            </w:pPr>
            <w:r w:rsidRPr="00432896">
              <w:rPr>
                <w:noProof/>
                <w:sz w:val="22"/>
                <w:szCs w:val="22"/>
                <w:lang w:val="en-IN" w:eastAsia="en-IN"/>
              </w:rPr>
              <w:drawing>
                <wp:inline distT="0" distB="0" distL="0" distR="0" wp14:anchorId="35A298DC" wp14:editId="39CF0A23">
                  <wp:extent cx="3789788" cy="685800"/>
                  <wp:effectExtent l="0" t="0" r="1270" b="0"/>
                  <wp:docPr id="1611680413" name="Picture 4" descr="Macaulay Du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aulay Duratio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39485" cy="694793"/>
                          </a:xfrm>
                          <a:prstGeom prst="rect">
                            <a:avLst/>
                          </a:prstGeom>
                          <a:noFill/>
                          <a:ln>
                            <a:noFill/>
                          </a:ln>
                        </pic:spPr>
                      </pic:pic>
                    </a:graphicData>
                  </a:graphic>
                </wp:inline>
              </w:drawing>
            </w:r>
          </w:p>
          <w:p w14:paraId="2E70065F" w14:textId="77777777" w:rsidR="00157010" w:rsidRPr="00432896" w:rsidRDefault="00157010" w:rsidP="008502BC">
            <w:pPr>
              <w:rPr>
                <w:sz w:val="22"/>
                <w:szCs w:val="22"/>
                <w:lang w:val="en-IN"/>
              </w:rPr>
            </w:pPr>
            <w:r w:rsidRPr="00432896">
              <w:rPr>
                <w:sz w:val="22"/>
                <w:szCs w:val="22"/>
                <w:lang w:val="en-IN"/>
              </w:rPr>
              <w:t>Where:</w:t>
            </w:r>
          </w:p>
          <w:p w14:paraId="1AB13A2A" w14:textId="77777777" w:rsidR="00157010" w:rsidRPr="00432896" w:rsidRDefault="00157010" w:rsidP="00157010">
            <w:pPr>
              <w:numPr>
                <w:ilvl w:val="0"/>
                <w:numId w:val="16"/>
              </w:numPr>
              <w:rPr>
                <w:sz w:val="22"/>
                <w:szCs w:val="22"/>
                <w:lang w:val="en-IN"/>
              </w:rPr>
            </w:pPr>
            <w:r w:rsidRPr="00432896">
              <w:rPr>
                <w:b/>
                <w:bCs/>
                <w:sz w:val="22"/>
                <w:szCs w:val="22"/>
                <w:lang w:val="en-IN"/>
              </w:rPr>
              <w:t>PV(</w:t>
            </w:r>
            <w:proofErr w:type="spellStart"/>
            <w:r w:rsidRPr="00432896">
              <w:rPr>
                <w:b/>
                <w:bCs/>
                <w:sz w:val="22"/>
                <w:szCs w:val="22"/>
                <w:lang w:val="en-IN"/>
              </w:rPr>
              <w:t>CF</w:t>
            </w:r>
            <w:r w:rsidRPr="00432896">
              <w:rPr>
                <w:b/>
                <w:bCs/>
                <w:sz w:val="22"/>
                <w:szCs w:val="22"/>
                <w:vertAlign w:val="subscript"/>
                <w:lang w:val="en-IN"/>
              </w:rPr>
              <w:t>t</w:t>
            </w:r>
            <w:proofErr w:type="spellEnd"/>
            <w:r w:rsidRPr="00432896">
              <w:rPr>
                <w:b/>
                <w:bCs/>
                <w:sz w:val="22"/>
                <w:szCs w:val="22"/>
                <w:lang w:val="en-IN"/>
              </w:rPr>
              <w:t>)</w:t>
            </w:r>
            <w:r w:rsidRPr="00432896">
              <w:rPr>
                <w:sz w:val="22"/>
                <w:szCs w:val="22"/>
                <w:lang w:val="en-IN"/>
              </w:rPr>
              <w:t> – Present value of cash flow (coupon) at period t</w:t>
            </w:r>
          </w:p>
          <w:p w14:paraId="1C1113F5" w14:textId="77777777" w:rsidR="00157010" w:rsidRPr="00432896" w:rsidRDefault="00157010" w:rsidP="00157010">
            <w:pPr>
              <w:numPr>
                <w:ilvl w:val="0"/>
                <w:numId w:val="16"/>
              </w:numPr>
              <w:rPr>
                <w:sz w:val="22"/>
                <w:szCs w:val="22"/>
                <w:lang w:val="en-IN"/>
              </w:rPr>
            </w:pPr>
            <w:r w:rsidRPr="00432896">
              <w:rPr>
                <w:b/>
                <w:bCs/>
                <w:sz w:val="22"/>
                <w:szCs w:val="22"/>
                <w:lang w:val="en-IN"/>
              </w:rPr>
              <w:t>t</w:t>
            </w:r>
            <w:r w:rsidRPr="00432896">
              <w:rPr>
                <w:sz w:val="22"/>
                <w:szCs w:val="22"/>
                <w:lang w:val="en-IN"/>
              </w:rPr>
              <w:t> – Time period for each cash flow</w:t>
            </w:r>
          </w:p>
          <w:p w14:paraId="56376868" w14:textId="77777777" w:rsidR="00157010" w:rsidRPr="00432896" w:rsidRDefault="00157010" w:rsidP="00157010">
            <w:pPr>
              <w:numPr>
                <w:ilvl w:val="0"/>
                <w:numId w:val="16"/>
              </w:numPr>
              <w:rPr>
                <w:sz w:val="22"/>
                <w:szCs w:val="22"/>
                <w:lang w:val="en-IN"/>
              </w:rPr>
            </w:pPr>
            <w:r w:rsidRPr="00432896">
              <w:rPr>
                <w:b/>
                <w:bCs/>
                <w:sz w:val="22"/>
                <w:szCs w:val="22"/>
                <w:lang w:val="en-IN"/>
              </w:rPr>
              <w:t>C</w:t>
            </w:r>
            <w:r w:rsidRPr="00432896">
              <w:rPr>
                <w:sz w:val="22"/>
                <w:szCs w:val="22"/>
                <w:lang w:val="en-IN"/>
              </w:rPr>
              <w:t> – Periodic coupon payment</w:t>
            </w:r>
          </w:p>
          <w:p w14:paraId="26AD45C9" w14:textId="77777777" w:rsidR="00157010" w:rsidRPr="00432896" w:rsidRDefault="00157010" w:rsidP="00157010">
            <w:pPr>
              <w:numPr>
                <w:ilvl w:val="0"/>
                <w:numId w:val="16"/>
              </w:numPr>
              <w:rPr>
                <w:sz w:val="22"/>
                <w:szCs w:val="22"/>
                <w:lang w:val="en-IN"/>
              </w:rPr>
            </w:pPr>
            <w:r w:rsidRPr="00432896">
              <w:rPr>
                <w:b/>
                <w:bCs/>
                <w:sz w:val="22"/>
                <w:szCs w:val="22"/>
                <w:lang w:val="en-IN"/>
              </w:rPr>
              <w:t>n</w:t>
            </w:r>
            <w:r w:rsidRPr="00432896">
              <w:rPr>
                <w:sz w:val="22"/>
                <w:szCs w:val="22"/>
                <w:lang w:val="en-IN"/>
              </w:rPr>
              <w:t> – Total number of periods to maturity</w:t>
            </w:r>
            <w:r>
              <w:rPr>
                <w:sz w:val="22"/>
                <w:szCs w:val="22"/>
                <w:lang w:val="en-IN"/>
              </w:rPr>
              <w:t xml:space="preserve"> </w:t>
            </w:r>
          </w:p>
          <w:p w14:paraId="605AE7FD" w14:textId="77777777" w:rsidR="00157010" w:rsidRPr="00432896" w:rsidRDefault="00157010" w:rsidP="00157010">
            <w:pPr>
              <w:numPr>
                <w:ilvl w:val="0"/>
                <w:numId w:val="16"/>
              </w:numPr>
              <w:rPr>
                <w:sz w:val="22"/>
                <w:szCs w:val="22"/>
                <w:lang w:val="en-IN"/>
              </w:rPr>
            </w:pPr>
            <w:r w:rsidRPr="00432896">
              <w:rPr>
                <w:b/>
                <w:bCs/>
                <w:sz w:val="22"/>
                <w:szCs w:val="22"/>
                <w:lang w:val="en-IN"/>
              </w:rPr>
              <w:t>M</w:t>
            </w:r>
            <w:r w:rsidRPr="00432896">
              <w:rPr>
                <w:sz w:val="22"/>
                <w:szCs w:val="22"/>
                <w:lang w:val="en-IN"/>
              </w:rPr>
              <w:t xml:space="preserve"> – </w:t>
            </w:r>
            <w:r>
              <w:rPr>
                <w:sz w:val="22"/>
                <w:szCs w:val="22"/>
                <w:lang w:val="en-IN"/>
              </w:rPr>
              <w:t xml:space="preserve">the Bond’s </w:t>
            </w:r>
            <w:r w:rsidRPr="00432896">
              <w:rPr>
                <w:sz w:val="22"/>
                <w:szCs w:val="22"/>
                <w:lang w:val="en-IN"/>
              </w:rPr>
              <w:t>maturity</w:t>
            </w:r>
            <w:r>
              <w:rPr>
                <w:sz w:val="22"/>
                <w:szCs w:val="22"/>
                <w:lang w:val="en-IN"/>
              </w:rPr>
              <w:t xml:space="preserve"> v</w:t>
            </w:r>
            <w:r w:rsidRPr="00432896">
              <w:rPr>
                <w:sz w:val="22"/>
                <w:szCs w:val="22"/>
                <w:lang w:val="en-IN"/>
              </w:rPr>
              <w:t xml:space="preserve">alue </w:t>
            </w:r>
          </w:p>
          <w:p w14:paraId="1A82C90D" w14:textId="77777777" w:rsidR="00157010" w:rsidRPr="008B787D" w:rsidRDefault="00157010" w:rsidP="00157010">
            <w:pPr>
              <w:numPr>
                <w:ilvl w:val="0"/>
                <w:numId w:val="16"/>
              </w:numPr>
              <w:rPr>
                <w:sz w:val="22"/>
                <w:szCs w:val="22"/>
                <w:lang w:val="en-IN"/>
              </w:rPr>
            </w:pPr>
            <w:r w:rsidRPr="00432896">
              <w:rPr>
                <w:b/>
                <w:bCs/>
                <w:sz w:val="22"/>
                <w:szCs w:val="22"/>
                <w:lang w:val="en-IN"/>
              </w:rPr>
              <w:t>Y</w:t>
            </w:r>
            <w:r w:rsidRPr="00432896">
              <w:rPr>
                <w:sz w:val="22"/>
                <w:szCs w:val="22"/>
                <w:lang w:val="en-IN"/>
              </w:rPr>
              <w:t> – Periodic yield</w:t>
            </w:r>
          </w:p>
        </w:tc>
      </w:tr>
      <w:tr w:rsidR="00157010" w14:paraId="6BA513C2" w14:textId="77777777" w:rsidTr="00850FFB">
        <w:tc>
          <w:tcPr>
            <w:tcW w:w="852" w:type="dxa"/>
          </w:tcPr>
          <w:p w14:paraId="753EB13E" w14:textId="77777777" w:rsidR="00157010" w:rsidRPr="0084732D" w:rsidRDefault="00157010" w:rsidP="008502BC">
            <w:pPr>
              <w:ind w:left="-102" w:right="-114"/>
              <w:jc w:val="center"/>
              <w:rPr>
                <w:bCs/>
                <w:sz w:val="22"/>
                <w:szCs w:val="22"/>
              </w:rPr>
            </w:pPr>
            <w:r>
              <w:rPr>
                <w:bCs/>
                <w:sz w:val="22"/>
                <w:szCs w:val="22"/>
              </w:rPr>
              <w:t>7</w:t>
            </w:r>
          </w:p>
        </w:tc>
        <w:tc>
          <w:tcPr>
            <w:tcW w:w="1842" w:type="dxa"/>
          </w:tcPr>
          <w:p w14:paraId="74BC076F" w14:textId="77777777" w:rsidR="00FF0313" w:rsidRDefault="00157010" w:rsidP="008502BC">
            <w:pPr>
              <w:jc w:val="both"/>
              <w:rPr>
                <w:b/>
                <w:i/>
                <w:color w:val="1F497D"/>
                <w:sz w:val="22"/>
                <w:szCs w:val="22"/>
              </w:rPr>
            </w:pPr>
            <w:r w:rsidRPr="00432896">
              <w:rPr>
                <w:b/>
                <w:i/>
                <w:color w:val="1F497D"/>
                <w:sz w:val="22"/>
                <w:szCs w:val="22"/>
              </w:rPr>
              <w:t xml:space="preserve">Portfolio Turnover Ratio  </w:t>
            </w:r>
          </w:p>
          <w:p w14:paraId="01229C86" w14:textId="10785E08" w:rsidR="00157010" w:rsidRPr="00432896" w:rsidRDefault="00157010" w:rsidP="008502BC">
            <w:pPr>
              <w:jc w:val="both"/>
              <w:rPr>
                <w:b/>
                <w:i/>
                <w:color w:val="1F497D"/>
                <w:sz w:val="22"/>
                <w:szCs w:val="22"/>
              </w:rPr>
            </w:pPr>
            <w:r>
              <w:rPr>
                <w:b/>
                <w:i/>
                <w:color w:val="1F497D"/>
                <w:sz w:val="22"/>
                <w:szCs w:val="22"/>
              </w:rPr>
              <w:t>(</w:t>
            </w:r>
            <w:r w:rsidRPr="00432896">
              <w:rPr>
                <w:b/>
                <w:i/>
                <w:color w:val="1F497D"/>
                <w:sz w:val="22"/>
                <w:szCs w:val="22"/>
              </w:rPr>
              <w:t>Not applicable to Passive Funds</w:t>
            </w:r>
            <w:r>
              <w:rPr>
                <w:b/>
                <w:i/>
                <w:color w:val="1F497D"/>
                <w:sz w:val="22"/>
                <w:szCs w:val="22"/>
              </w:rPr>
              <w:t>)</w:t>
            </w:r>
          </w:p>
          <w:p w14:paraId="27DB840B" w14:textId="77777777" w:rsidR="00157010" w:rsidRDefault="00157010" w:rsidP="008502BC">
            <w:pPr>
              <w:rPr>
                <w:b/>
                <w:sz w:val="28"/>
                <w:szCs w:val="28"/>
                <w:u w:val="single"/>
              </w:rPr>
            </w:pPr>
          </w:p>
        </w:tc>
        <w:tc>
          <w:tcPr>
            <w:tcW w:w="7655" w:type="dxa"/>
          </w:tcPr>
          <w:p w14:paraId="2B6558CA" w14:textId="77777777" w:rsidR="00157010" w:rsidRPr="00432896" w:rsidRDefault="00157010" w:rsidP="008502BC">
            <w:pPr>
              <w:jc w:val="both"/>
              <w:rPr>
                <w:sz w:val="22"/>
                <w:szCs w:val="22"/>
              </w:rPr>
            </w:pPr>
            <w:r w:rsidRPr="00432896">
              <w:rPr>
                <w:sz w:val="22"/>
                <w:szCs w:val="22"/>
              </w:rPr>
              <w:t xml:space="preserve">Calculation method: </w:t>
            </w:r>
          </w:p>
          <w:p w14:paraId="6A0C049A" w14:textId="77777777" w:rsidR="00157010" w:rsidRPr="00432896" w:rsidRDefault="00157010" w:rsidP="008502BC">
            <w:pPr>
              <w:jc w:val="both"/>
              <w:rPr>
                <w:sz w:val="22"/>
                <w:szCs w:val="22"/>
              </w:rPr>
            </w:pPr>
            <w:r w:rsidRPr="00432896">
              <w:rPr>
                <w:sz w:val="22"/>
                <w:szCs w:val="22"/>
              </w:rPr>
              <w:t xml:space="preserve">Lower of purchase or sale during the period/Average AUM for the period. The period to be considered is last one year. </w:t>
            </w:r>
          </w:p>
          <w:p w14:paraId="6A196784" w14:textId="77777777" w:rsidR="00157010" w:rsidRPr="008B787D" w:rsidRDefault="00157010" w:rsidP="008502BC">
            <w:pPr>
              <w:jc w:val="both"/>
              <w:rPr>
                <w:sz w:val="22"/>
                <w:szCs w:val="22"/>
              </w:rPr>
            </w:pPr>
            <w:r w:rsidRPr="00432896">
              <w:rPr>
                <w:sz w:val="22"/>
                <w:szCs w:val="22"/>
              </w:rPr>
              <w:t>TREPS/CBLO/Repo/FD/Margin FD/ MFU/SLB are not considered for purchase and sale. Should include Fixed income securities and Equity derivatives</w:t>
            </w:r>
          </w:p>
        </w:tc>
      </w:tr>
      <w:tr w:rsidR="00157010" w14:paraId="47FA7F71" w14:textId="77777777" w:rsidTr="00850FFB">
        <w:tc>
          <w:tcPr>
            <w:tcW w:w="852" w:type="dxa"/>
          </w:tcPr>
          <w:p w14:paraId="36F3ED64" w14:textId="77777777" w:rsidR="00157010" w:rsidRPr="0084732D" w:rsidRDefault="00157010" w:rsidP="008502BC">
            <w:pPr>
              <w:ind w:left="-102" w:right="-114"/>
              <w:jc w:val="center"/>
              <w:rPr>
                <w:bCs/>
                <w:sz w:val="22"/>
                <w:szCs w:val="22"/>
              </w:rPr>
            </w:pPr>
            <w:r>
              <w:rPr>
                <w:bCs/>
                <w:sz w:val="22"/>
                <w:szCs w:val="22"/>
              </w:rPr>
              <w:t>8</w:t>
            </w:r>
          </w:p>
        </w:tc>
        <w:tc>
          <w:tcPr>
            <w:tcW w:w="1842" w:type="dxa"/>
          </w:tcPr>
          <w:p w14:paraId="46E6EF2B" w14:textId="77777777" w:rsidR="00157010" w:rsidRPr="008B787D" w:rsidRDefault="00157010" w:rsidP="008502BC">
            <w:pPr>
              <w:jc w:val="both"/>
              <w:rPr>
                <w:b/>
                <w:i/>
                <w:color w:val="1F497D"/>
                <w:sz w:val="22"/>
                <w:szCs w:val="22"/>
              </w:rPr>
            </w:pPr>
            <w:r w:rsidRPr="00432896">
              <w:rPr>
                <w:b/>
                <w:i/>
                <w:color w:val="1F497D"/>
                <w:sz w:val="22"/>
                <w:szCs w:val="22"/>
              </w:rPr>
              <w:t>Average Maturity</w:t>
            </w:r>
          </w:p>
        </w:tc>
        <w:tc>
          <w:tcPr>
            <w:tcW w:w="7655" w:type="dxa"/>
          </w:tcPr>
          <w:p w14:paraId="2472164C" w14:textId="77777777" w:rsidR="00157010" w:rsidRDefault="00157010" w:rsidP="008502BC">
            <w:pPr>
              <w:jc w:val="both"/>
              <w:rPr>
                <w:sz w:val="22"/>
                <w:szCs w:val="22"/>
              </w:rPr>
            </w:pPr>
            <w:r w:rsidRPr="00432896">
              <w:rPr>
                <w:sz w:val="22"/>
                <w:szCs w:val="22"/>
              </w:rPr>
              <w:t>Weighted avg maturity of the assets</w:t>
            </w:r>
          </w:p>
          <w:p w14:paraId="47CE14A3" w14:textId="77777777" w:rsidR="00157010" w:rsidRPr="008B787D" w:rsidRDefault="00157010" w:rsidP="008502BC">
            <w:pPr>
              <w:jc w:val="both"/>
              <w:rPr>
                <w:sz w:val="22"/>
                <w:szCs w:val="22"/>
              </w:rPr>
            </w:pPr>
          </w:p>
        </w:tc>
      </w:tr>
      <w:tr w:rsidR="00157010" w14:paraId="6735D0AC" w14:textId="77777777" w:rsidTr="00850FFB">
        <w:tc>
          <w:tcPr>
            <w:tcW w:w="852" w:type="dxa"/>
          </w:tcPr>
          <w:p w14:paraId="6FF7DDCD" w14:textId="77777777" w:rsidR="00157010" w:rsidRPr="0084732D" w:rsidRDefault="00157010" w:rsidP="008502BC">
            <w:pPr>
              <w:ind w:left="-102" w:right="-114"/>
              <w:jc w:val="center"/>
              <w:rPr>
                <w:bCs/>
                <w:sz w:val="22"/>
                <w:szCs w:val="22"/>
              </w:rPr>
            </w:pPr>
            <w:r w:rsidRPr="0084732D">
              <w:rPr>
                <w:bCs/>
                <w:sz w:val="22"/>
                <w:szCs w:val="22"/>
              </w:rPr>
              <w:t>9</w:t>
            </w:r>
          </w:p>
        </w:tc>
        <w:tc>
          <w:tcPr>
            <w:tcW w:w="1842" w:type="dxa"/>
          </w:tcPr>
          <w:p w14:paraId="1304F3D1" w14:textId="77777777" w:rsidR="00157010" w:rsidRPr="008B787D" w:rsidRDefault="00157010" w:rsidP="008502BC">
            <w:pPr>
              <w:jc w:val="both"/>
              <w:rPr>
                <w:b/>
                <w:i/>
                <w:color w:val="1F497D"/>
                <w:sz w:val="22"/>
                <w:szCs w:val="22"/>
              </w:rPr>
            </w:pPr>
            <w:r w:rsidRPr="00432896">
              <w:rPr>
                <w:b/>
                <w:i/>
                <w:color w:val="1F497D"/>
                <w:sz w:val="22"/>
                <w:szCs w:val="22"/>
              </w:rPr>
              <w:t>Portfolio Yield</w:t>
            </w:r>
          </w:p>
        </w:tc>
        <w:tc>
          <w:tcPr>
            <w:tcW w:w="7655" w:type="dxa"/>
          </w:tcPr>
          <w:p w14:paraId="400A5398" w14:textId="77777777" w:rsidR="00157010" w:rsidRPr="008B787D" w:rsidRDefault="00157010" w:rsidP="008502BC">
            <w:pPr>
              <w:jc w:val="both"/>
              <w:rPr>
                <w:sz w:val="22"/>
                <w:szCs w:val="22"/>
              </w:rPr>
            </w:pPr>
            <w:r w:rsidRPr="00432896">
              <w:rPr>
                <w:sz w:val="22"/>
                <w:szCs w:val="22"/>
              </w:rPr>
              <w:t>Weighted Average valuation yield of the assets – Disclosure required only for Debt funds.</w:t>
            </w:r>
          </w:p>
        </w:tc>
      </w:tr>
      <w:tr w:rsidR="00157010" w14:paraId="38333D48" w14:textId="77777777" w:rsidTr="00850FFB">
        <w:tc>
          <w:tcPr>
            <w:tcW w:w="852" w:type="dxa"/>
          </w:tcPr>
          <w:p w14:paraId="16934A40" w14:textId="77777777" w:rsidR="00157010" w:rsidRPr="0084732D" w:rsidRDefault="00157010" w:rsidP="008502BC">
            <w:pPr>
              <w:ind w:left="-102" w:right="-114"/>
              <w:jc w:val="center"/>
              <w:rPr>
                <w:bCs/>
                <w:sz w:val="22"/>
                <w:szCs w:val="22"/>
              </w:rPr>
            </w:pPr>
            <w:r w:rsidRPr="0084732D">
              <w:rPr>
                <w:bCs/>
                <w:sz w:val="22"/>
                <w:szCs w:val="22"/>
              </w:rPr>
              <w:lastRenderedPageBreak/>
              <w:t>10</w:t>
            </w:r>
          </w:p>
        </w:tc>
        <w:tc>
          <w:tcPr>
            <w:tcW w:w="1842" w:type="dxa"/>
          </w:tcPr>
          <w:p w14:paraId="2B944514" w14:textId="77777777" w:rsidR="00157010" w:rsidRPr="00432896" w:rsidRDefault="00157010" w:rsidP="008502BC">
            <w:pPr>
              <w:jc w:val="both"/>
              <w:rPr>
                <w:b/>
                <w:i/>
                <w:color w:val="1F497D"/>
                <w:sz w:val="22"/>
                <w:szCs w:val="22"/>
              </w:rPr>
            </w:pPr>
            <w:r w:rsidRPr="00432896">
              <w:rPr>
                <w:b/>
                <w:i/>
                <w:color w:val="1F497D"/>
                <w:sz w:val="22"/>
                <w:szCs w:val="22"/>
              </w:rPr>
              <w:t>Risk Free Return</w:t>
            </w:r>
          </w:p>
          <w:p w14:paraId="722AE335" w14:textId="77777777" w:rsidR="00157010" w:rsidRDefault="00157010" w:rsidP="008502BC">
            <w:pPr>
              <w:rPr>
                <w:b/>
                <w:sz w:val="28"/>
                <w:szCs w:val="28"/>
                <w:u w:val="single"/>
              </w:rPr>
            </w:pPr>
          </w:p>
        </w:tc>
        <w:tc>
          <w:tcPr>
            <w:tcW w:w="7655" w:type="dxa"/>
          </w:tcPr>
          <w:p w14:paraId="725B6B60" w14:textId="77777777" w:rsidR="00157010" w:rsidRPr="008B787D" w:rsidRDefault="00157010" w:rsidP="008502BC">
            <w:pPr>
              <w:jc w:val="both"/>
              <w:rPr>
                <w:sz w:val="22"/>
                <w:szCs w:val="22"/>
              </w:rPr>
            </w:pPr>
            <w:r w:rsidRPr="00432896">
              <w:rPr>
                <w:sz w:val="22"/>
                <w:szCs w:val="22"/>
              </w:rPr>
              <w:t xml:space="preserve">TREPs would serve as a more appropriate </w:t>
            </w:r>
            <w:proofErr w:type="gramStart"/>
            <w:r w:rsidRPr="00432896">
              <w:rPr>
                <w:sz w:val="22"/>
                <w:szCs w:val="22"/>
              </w:rPr>
              <w:t>risk free</w:t>
            </w:r>
            <w:proofErr w:type="gramEnd"/>
            <w:r w:rsidRPr="00432896">
              <w:rPr>
                <w:sz w:val="22"/>
                <w:szCs w:val="22"/>
              </w:rPr>
              <w:t xml:space="preserve"> rate instead of currently used MIBOR as Mutual Funds deploy idle cash in TREPs. Risk Free Return to be taken as WAR TREP of the last working day.</w:t>
            </w:r>
          </w:p>
        </w:tc>
      </w:tr>
      <w:tr w:rsidR="00157010" w14:paraId="10D721CB" w14:textId="77777777" w:rsidTr="00850FFB">
        <w:tc>
          <w:tcPr>
            <w:tcW w:w="852" w:type="dxa"/>
          </w:tcPr>
          <w:p w14:paraId="20C2D34B" w14:textId="77777777" w:rsidR="00157010" w:rsidRPr="0084732D" w:rsidRDefault="00157010" w:rsidP="008502BC">
            <w:pPr>
              <w:ind w:left="-102" w:right="-114"/>
              <w:jc w:val="center"/>
              <w:rPr>
                <w:bCs/>
                <w:sz w:val="22"/>
                <w:szCs w:val="22"/>
              </w:rPr>
            </w:pPr>
            <w:r w:rsidRPr="0084732D">
              <w:rPr>
                <w:bCs/>
                <w:sz w:val="22"/>
                <w:szCs w:val="22"/>
              </w:rPr>
              <w:t>11</w:t>
            </w:r>
          </w:p>
        </w:tc>
        <w:tc>
          <w:tcPr>
            <w:tcW w:w="1842" w:type="dxa"/>
          </w:tcPr>
          <w:p w14:paraId="6D309971" w14:textId="6C7625CE" w:rsidR="00157010" w:rsidRPr="008B787D" w:rsidRDefault="00157010" w:rsidP="008502BC">
            <w:pPr>
              <w:spacing w:after="120"/>
              <w:jc w:val="both"/>
              <w:rPr>
                <w:b/>
                <w:i/>
                <w:color w:val="1F497D"/>
                <w:sz w:val="22"/>
                <w:szCs w:val="22"/>
              </w:rPr>
            </w:pPr>
            <w:r w:rsidRPr="00432896">
              <w:rPr>
                <w:b/>
                <w:i/>
                <w:color w:val="1F497D"/>
                <w:sz w:val="22"/>
                <w:szCs w:val="22"/>
              </w:rPr>
              <w:t xml:space="preserve">Tracking Error </w:t>
            </w:r>
          </w:p>
        </w:tc>
        <w:tc>
          <w:tcPr>
            <w:tcW w:w="7655" w:type="dxa"/>
          </w:tcPr>
          <w:p w14:paraId="7C7B82E7" w14:textId="77777777" w:rsidR="00157010" w:rsidRPr="00432896" w:rsidRDefault="00157010" w:rsidP="008502BC">
            <w:pPr>
              <w:autoSpaceDE w:val="0"/>
              <w:autoSpaceDN w:val="0"/>
              <w:adjustRightInd w:val="0"/>
              <w:rPr>
                <w:b/>
                <w:bCs/>
                <w:color w:val="000000"/>
                <w:sz w:val="22"/>
                <w:szCs w:val="22"/>
              </w:rPr>
            </w:pPr>
            <w:r w:rsidRPr="00432896">
              <w:rPr>
                <w:b/>
                <w:bCs/>
                <w:color w:val="000000"/>
                <w:sz w:val="22"/>
                <w:szCs w:val="22"/>
              </w:rPr>
              <w:t xml:space="preserve">Step 1: </w:t>
            </w:r>
            <w:r w:rsidRPr="00432896">
              <w:rPr>
                <w:color w:val="000000"/>
                <w:sz w:val="22"/>
                <w:szCs w:val="22"/>
              </w:rPr>
              <w:t xml:space="preserve">Obtain the NAV values and the TR Index values for each day of the total </w:t>
            </w:r>
            <w:proofErr w:type="gramStart"/>
            <w:r w:rsidRPr="00432896">
              <w:rPr>
                <w:color w:val="000000"/>
                <w:sz w:val="22"/>
                <w:szCs w:val="22"/>
              </w:rPr>
              <w:t>time period</w:t>
            </w:r>
            <w:proofErr w:type="gramEnd"/>
            <w:r w:rsidRPr="00432896">
              <w:rPr>
                <w:color w:val="000000"/>
                <w:sz w:val="22"/>
                <w:szCs w:val="22"/>
              </w:rPr>
              <w:t xml:space="preserve"> required</w:t>
            </w:r>
          </w:p>
          <w:p w14:paraId="2959C5B1" w14:textId="77777777" w:rsidR="00157010" w:rsidRPr="00432896" w:rsidRDefault="00157010" w:rsidP="008502BC">
            <w:pPr>
              <w:autoSpaceDE w:val="0"/>
              <w:autoSpaceDN w:val="0"/>
              <w:adjustRightInd w:val="0"/>
              <w:rPr>
                <w:b/>
                <w:bCs/>
                <w:color w:val="000000"/>
                <w:sz w:val="22"/>
                <w:szCs w:val="22"/>
              </w:rPr>
            </w:pPr>
          </w:p>
          <w:p w14:paraId="7401CED2" w14:textId="77777777" w:rsidR="00157010" w:rsidRPr="00432896" w:rsidRDefault="00157010" w:rsidP="008502BC">
            <w:pPr>
              <w:autoSpaceDE w:val="0"/>
              <w:autoSpaceDN w:val="0"/>
              <w:adjustRightInd w:val="0"/>
              <w:rPr>
                <w:color w:val="000000"/>
                <w:sz w:val="22"/>
                <w:szCs w:val="22"/>
              </w:rPr>
            </w:pPr>
            <w:r w:rsidRPr="00432896">
              <w:rPr>
                <w:b/>
                <w:bCs/>
                <w:color w:val="000000"/>
                <w:sz w:val="22"/>
                <w:szCs w:val="22"/>
              </w:rPr>
              <w:t xml:space="preserve">Step 2: </w:t>
            </w:r>
            <w:r w:rsidRPr="00432896">
              <w:rPr>
                <w:color w:val="000000"/>
                <w:sz w:val="22"/>
                <w:szCs w:val="22"/>
              </w:rPr>
              <w:t>Calculate the percentage change in the NAV and TR Index for each day over its previous day</w:t>
            </w:r>
          </w:p>
          <w:p w14:paraId="04683EFC" w14:textId="77777777" w:rsidR="00157010" w:rsidRPr="00432896" w:rsidRDefault="00157010" w:rsidP="008502BC">
            <w:pPr>
              <w:autoSpaceDE w:val="0"/>
              <w:autoSpaceDN w:val="0"/>
              <w:adjustRightInd w:val="0"/>
              <w:ind w:left="1440" w:firstLine="720"/>
              <w:rPr>
                <w:b/>
                <w:bCs/>
                <w:i/>
                <w:iCs/>
                <w:color w:val="000000"/>
                <w:sz w:val="22"/>
                <w:szCs w:val="22"/>
              </w:rPr>
            </w:pPr>
          </w:p>
          <w:p w14:paraId="2E450438" w14:textId="77777777" w:rsidR="00157010" w:rsidRPr="008B787D" w:rsidRDefault="00157010" w:rsidP="008502BC">
            <w:pPr>
              <w:autoSpaceDE w:val="0"/>
              <w:autoSpaceDN w:val="0"/>
              <w:adjustRightInd w:val="0"/>
              <w:ind w:left="1440" w:hanging="1440"/>
              <w:rPr>
                <w:color w:val="000000"/>
                <w:sz w:val="22"/>
                <w:szCs w:val="22"/>
                <w:u w:val="single"/>
              </w:rPr>
            </w:pPr>
            <w:r w:rsidRPr="008B787D">
              <w:rPr>
                <w:color w:val="000000"/>
                <w:sz w:val="22"/>
                <w:szCs w:val="22"/>
              </w:rPr>
              <w:t xml:space="preserve">Percentage change in the NAV   </w:t>
            </w:r>
            <w:proofErr w:type="gramStart"/>
            <w:r w:rsidRPr="008B787D">
              <w:rPr>
                <w:color w:val="000000"/>
                <w:sz w:val="22"/>
                <w:szCs w:val="22"/>
              </w:rPr>
              <w:t xml:space="preserve">=  </w:t>
            </w:r>
            <w:r w:rsidRPr="008B787D">
              <w:rPr>
                <w:color w:val="000000"/>
                <w:sz w:val="22"/>
                <w:szCs w:val="22"/>
                <w:u w:val="single"/>
              </w:rPr>
              <w:t>NAV</w:t>
            </w:r>
            <w:proofErr w:type="gramEnd"/>
            <w:r w:rsidRPr="008B787D">
              <w:rPr>
                <w:color w:val="000000"/>
                <w:sz w:val="22"/>
                <w:szCs w:val="22"/>
                <w:u w:val="single"/>
              </w:rPr>
              <w:t xml:space="preserve"> as on day (t) – NAV as on day(t-1)</w:t>
            </w:r>
          </w:p>
          <w:p w14:paraId="28BF9470" w14:textId="77777777" w:rsidR="00157010" w:rsidRPr="008B787D" w:rsidRDefault="00157010" w:rsidP="008502BC">
            <w:pPr>
              <w:autoSpaceDE w:val="0"/>
              <w:autoSpaceDN w:val="0"/>
              <w:adjustRightInd w:val="0"/>
              <w:ind w:left="1440" w:firstLine="720"/>
              <w:rPr>
                <w:color w:val="000000"/>
                <w:sz w:val="22"/>
                <w:szCs w:val="22"/>
              </w:rPr>
            </w:pPr>
            <w:r w:rsidRPr="008B787D">
              <w:rPr>
                <w:color w:val="000000"/>
                <w:sz w:val="22"/>
                <w:szCs w:val="22"/>
              </w:rPr>
              <w:t xml:space="preserve">             </w:t>
            </w:r>
            <w:r w:rsidRPr="008B787D">
              <w:rPr>
                <w:color w:val="000000"/>
                <w:sz w:val="22"/>
                <w:szCs w:val="22"/>
              </w:rPr>
              <w:tab/>
            </w:r>
            <w:r w:rsidRPr="008B787D">
              <w:rPr>
                <w:color w:val="000000"/>
                <w:sz w:val="22"/>
                <w:szCs w:val="22"/>
              </w:rPr>
              <w:tab/>
            </w:r>
            <w:r w:rsidRPr="008B787D">
              <w:rPr>
                <w:color w:val="000000"/>
                <w:sz w:val="22"/>
                <w:szCs w:val="22"/>
              </w:rPr>
              <w:tab/>
              <w:t xml:space="preserve"> NAV as on day (t</w:t>
            </w:r>
            <w:r w:rsidRPr="008B787D">
              <w:rPr>
                <w:color w:val="008100"/>
                <w:sz w:val="22"/>
                <w:szCs w:val="22"/>
              </w:rPr>
              <w:t>-</w:t>
            </w:r>
            <w:r w:rsidRPr="008B787D">
              <w:rPr>
                <w:color w:val="000000"/>
                <w:sz w:val="22"/>
                <w:szCs w:val="22"/>
              </w:rPr>
              <w:t>1)</w:t>
            </w:r>
          </w:p>
          <w:p w14:paraId="58AE5A16" w14:textId="77777777" w:rsidR="00157010" w:rsidRPr="00432896" w:rsidRDefault="00157010" w:rsidP="008502BC">
            <w:pPr>
              <w:autoSpaceDE w:val="0"/>
              <w:autoSpaceDN w:val="0"/>
              <w:adjustRightInd w:val="0"/>
              <w:ind w:left="709" w:hanging="709"/>
              <w:rPr>
                <w:color w:val="000000"/>
                <w:sz w:val="22"/>
                <w:szCs w:val="22"/>
              </w:rPr>
            </w:pPr>
            <w:r w:rsidRPr="00432896">
              <w:rPr>
                <w:b/>
                <w:bCs/>
                <w:color w:val="000000"/>
                <w:sz w:val="22"/>
                <w:szCs w:val="22"/>
              </w:rPr>
              <w:t>Step 3:</w:t>
            </w:r>
            <w:r w:rsidRPr="00432896">
              <w:rPr>
                <w:color w:val="000000"/>
                <w:sz w:val="22"/>
                <w:szCs w:val="22"/>
              </w:rPr>
              <w:t xml:space="preserve"> Calculate the difference between the percentage change in the NAV and the   percentage change in the TR Index for each day</w:t>
            </w:r>
          </w:p>
          <w:p w14:paraId="33C2F02F" w14:textId="77777777" w:rsidR="00157010" w:rsidRPr="00432896" w:rsidRDefault="00157010" w:rsidP="008502BC">
            <w:pPr>
              <w:autoSpaceDE w:val="0"/>
              <w:autoSpaceDN w:val="0"/>
              <w:adjustRightInd w:val="0"/>
              <w:rPr>
                <w:b/>
                <w:bCs/>
                <w:color w:val="000000"/>
                <w:sz w:val="22"/>
                <w:szCs w:val="22"/>
              </w:rPr>
            </w:pPr>
          </w:p>
          <w:p w14:paraId="58850E05" w14:textId="77777777" w:rsidR="00157010" w:rsidRPr="00432896" w:rsidRDefault="00157010" w:rsidP="008502BC">
            <w:pPr>
              <w:autoSpaceDE w:val="0"/>
              <w:autoSpaceDN w:val="0"/>
              <w:adjustRightInd w:val="0"/>
              <w:rPr>
                <w:color w:val="000000"/>
                <w:sz w:val="22"/>
                <w:szCs w:val="22"/>
              </w:rPr>
            </w:pPr>
            <w:r w:rsidRPr="00432896">
              <w:rPr>
                <w:b/>
                <w:bCs/>
                <w:color w:val="000000"/>
                <w:sz w:val="22"/>
                <w:szCs w:val="22"/>
              </w:rPr>
              <w:t xml:space="preserve">Step 4: </w:t>
            </w:r>
            <w:r w:rsidRPr="00432896">
              <w:rPr>
                <w:color w:val="000000"/>
                <w:sz w:val="22"/>
                <w:szCs w:val="22"/>
              </w:rPr>
              <w:t xml:space="preserve">Calculate the standard deviation of the difference obtained from </w:t>
            </w:r>
            <w:proofErr w:type="gramStart"/>
            <w:r w:rsidRPr="00432896">
              <w:rPr>
                <w:color w:val="000000"/>
                <w:sz w:val="22"/>
                <w:szCs w:val="22"/>
              </w:rPr>
              <w:t>day(</w:t>
            </w:r>
            <w:proofErr w:type="gramEnd"/>
            <w:r w:rsidRPr="00432896">
              <w:rPr>
                <w:color w:val="000000"/>
                <w:sz w:val="22"/>
                <w:szCs w:val="22"/>
              </w:rPr>
              <w:t xml:space="preserve">1) </w:t>
            </w:r>
            <w:proofErr w:type="gramStart"/>
            <w:r w:rsidRPr="00432896">
              <w:rPr>
                <w:color w:val="000000"/>
                <w:sz w:val="22"/>
                <w:szCs w:val="22"/>
              </w:rPr>
              <w:t>to day</w:t>
            </w:r>
            <w:proofErr w:type="gramEnd"/>
            <w:r w:rsidRPr="00432896">
              <w:rPr>
                <w:color w:val="000000"/>
                <w:sz w:val="22"/>
                <w:szCs w:val="22"/>
              </w:rPr>
              <w:t xml:space="preserve">(n) in </w:t>
            </w:r>
          </w:p>
          <w:p w14:paraId="0377B295" w14:textId="77777777" w:rsidR="00157010" w:rsidRPr="00432896" w:rsidRDefault="00157010" w:rsidP="008502BC">
            <w:pPr>
              <w:autoSpaceDE w:val="0"/>
              <w:autoSpaceDN w:val="0"/>
              <w:adjustRightInd w:val="0"/>
              <w:rPr>
                <w:color w:val="000000"/>
                <w:sz w:val="22"/>
                <w:szCs w:val="22"/>
              </w:rPr>
            </w:pPr>
          </w:p>
          <w:p w14:paraId="220AACA9" w14:textId="77777777" w:rsidR="00157010" w:rsidRPr="00432896" w:rsidRDefault="00157010" w:rsidP="008502BC">
            <w:pPr>
              <w:autoSpaceDE w:val="0"/>
              <w:autoSpaceDN w:val="0"/>
              <w:adjustRightInd w:val="0"/>
              <w:rPr>
                <w:color w:val="000000"/>
                <w:sz w:val="22"/>
                <w:szCs w:val="22"/>
              </w:rPr>
            </w:pPr>
            <w:r w:rsidRPr="00432896">
              <w:rPr>
                <w:b/>
                <w:bCs/>
                <w:color w:val="000000"/>
                <w:sz w:val="22"/>
                <w:szCs w:val="22"/>
              </w:rPr>
              <w:t xml:space="preserve">Step 5: </w:t>
            </w:r>
            <w:r w:rsidRPr="00432896">
              <w:rPr>
                <w:color w:val="000000"/>
                <w:sz w:val="22"/>
                <w:szCs w:val="22"/>
              </w:rPr>
              <w:t xml:space="preserve">Calculate the </w:t>
            </w:r>
            <w:proofErr w:type="spellStart"/>
            <w:r w:rsidRPr="00432896">
              <w:rPr>
                <w:color w:val="000000"/>
                <w:sz w:val="22"/>
                <w:szCs w:val="22"/>
              </w:rPr>
              <w:t>Annualised</w:t>
            </w:r>
            <w:proofErr w:type="spellEnd"/>
            <w:r w:rsidRPr="00432896">
              <w:rPr>
                <w:color w:val="000000"/>
                <w:sz w:val="22"/>
                <w:szCs w:val="22"/>
              </w:rPr>
              <w:t xml:space="preserve"> Tracking error as per the formula given below</w:t>
            </w:r>
          </w:p>
          <w:p w14:paraId="0E8EA185" w14:textId="77777777" w:rsidR="00157010" w:rsidRPr="008B787D" w:rsidRDefault="00157010" w:rsidP="008502BC">
            <w:pPr>
              <w:autoSpaceDE w:val="0"/>
              <w:autoSpaceDN w:val="0"/>
              <w:adjustRightInd w:val="0"/>
              <w:ind w:left="630"/>
              <w:rPr>
                <w:i/>
                <w:iCs/>
                <w:color w:val="000000"/>
                <w:sz w:val="22"/>
                <w:szCs w:val="22"/>
              </w:rPr>
            </w:pPr>
            <w:proofErr w:type="spellStart"/>
            <w:r w:rsidRPr="00432896">
              <w:rPr>
                <w:i/>
                <w:iCs/>
                <w:color w:val="000000"/>
                <w:sz w:val="22"/>
                <w:szCs w:val="22"/>
              </w:rPr>
              <w:t>Annualised</w:t>
            </w:r>
            <w:proofErr w:type="spellEnd"/>
            <w:r w:rsidRPr="00432896">
              <w:rPr>
                <w:i/>
                <w:iCs/>
                <w:color w:val="000000"/>
                <w:sz w:val="22"/>
                <w:szCs w:val="22"/>
              </w:rPr>
              <w:t xml:space="preserve"> Tracking Error</w:t>
            </w:r>
            <w:r w:rsidRPr="00432896">
              <w:rPr>
                <w:b/>
                <w:bCs/>
                <w:i/>
                <w:iCs/>
                <w:color w:val="000000"/>
                <w:sz w:val="22"/>
                <w:szCs w:val="22"/>
              </w:rPr>
              <w:t xml:space="preserve"> </w:t>
            </w:r>
            <w:r w:rsidRPr="00432896">
              <w:rPr>
                <w:color w:val="000000"/>
                <w:sz w:val="22"/>
                <w:szCs w:val="22"/>
              </w:rPr>
              <w:t xml:space="preserve">= </w:t>
            </w:r>
            <w:r w:rsidRPr="00432896">
              <w:rPr>
                <w:i/>
                <w:iCs/>
                <w:color w:val="000000"/>
                <w:sz w:val="22"/>
                <w:szCs w:val="22"/>
              </w:rPr>
              <w:t>Standard Deviation (obtained as per Step 4</w:t>
            </w:r>
            <w:proofErr w:type="gramStart"/>
            <w:r w:rsidRPr="00432896">
              <w:rPr>
                <w:i/>
                <w:iCs/>
                <w:color w:val="000000"/>
                <w:sz w:val="22"/>
                <w:szCs w:val="22"/>
              </w:rPr>
              <w:t>)  sqrt</w:t>
            </w:r>
            <w:proofErr w:type="gramEnd"/>
            <w:r w:rsidRPr="00432896">
              <w:rPr>
                <w:i/>
                <w:iCs/>
                <w:color w:val="000000"/>
                <w:sz w:val="22"/>
                <w:szCs w:val="22"/>
              </w:rPr>
              <w:t xml:space="preserve"> (250)</w:t>
            </w:r>
          </w:p>
        </w:tc>
      </w:tr>
      <w:tr w:rsidR="00157010" w14:paraId="3D59C630" w14:textId="77777777" w:rsidTr="00850FFB">
        <w:tc>
          <w:tcPr>
            <w:tcW w:w="852" w:type="dxa"/>
          </w:tcPr>
          <w:p w14:paraId="28381E3F" w14:textId="77777777" w:rsidR="00157010" w:rsidRPr="0084732D" w:rsidRDefault="00157010" w:rsidP="008502BC">
            <w:pPr>
              <w:ind w:left="-102" w:right="-114"/>
              <w:jc w:val="center"/>
              <w:rPr>
                <w:bCs/>
                <w:sz w:val="22"/>
                <w:szCs w:val="22"/>
              </w:rPr>
            </w:pPr>
            <w:r w:rsidRPr="0084732D">
              <w:rPr>
                <w:bCs/>
                <w:sz w:val="22"/>
                <w:szCs w:val="22"/>
              </w:rPr>
              <w:t>12</w:t>
            </w:r>
          </w:p>
        </w:tc>
        <w:tc>
          <w:tcPr>
            <w:tcW w:w="1842" w:type="dxa"/>
          </w:tcPr>
          <w:p w14:paraId="0BED24E4" w14:textId="77777777" w:rsidR="00157010" w:rsidRPr="008B787D" w:rsidRDefault="00157010" w:rsidP="008502BC">
            <w:pPr>
              <w:jc w:val="both"/>
              <w:rPr>
                <w:b/>
                <w:color w:val="1F497D"/>
                <w:sz w:val="22"/>
                <w:szCs w:val="22"/>
              </w:rPr>
            </w:pPr>
            <w:r w:rsidRPr="00432896">
              <w:rPr>
                <w:b/>
                <w:i/>
                <w:color w:val="1F497D"/>
                <w:sz w:val="22"/>
                <w:szCs w:val="22"/>
              </w:rPr>
              <w:t>Tracking Difference</w:t>
            </w:r>
          </w:p>
        </w:tc>
        <w:tc>
          <w:tcPr>
            <w:tcW w:w="7655" w:type="dxa"/>
          </w:tcPr>
          <w:p w14:paraId="23ACF5AD" w14:textId="5FEE842B" w:rsidR="00157010" w:rsidRPr="008B787D" w:rsidRDefault="00157010" w:rsidP="008502BC">
            <w:pPr>
              <w:jc w:val="both"/>
              <w:rPr>
                <w:color w:val="000000"/>
                <w:sz w:val="22"/>
                <w:szCs w:val="22"/>
              </w:rPr>
            </w:pPr>
            <w:r w:rsidRPr="00432896">
              <w:rPr>
                <w:color w:val="000000"/>
                <w:sz w:val="22"/>
                <w:szCs w:val="22"/>
              </w:rPr>
              <w:t xml:space="preserve">Tracking Difference = Scheme </w:t>
            </w:r>
            <w:proofErr w:type="gramStart"/>
            <w:r w:rsidRPr="00432896">
              <w:rPr>
                <w:color w:val="000000"/>
                <w:sz w:val="22"/>
                <w:szCs w:val="22"/>
              </w:rPr>
              <w:t xml:space="preserve">returns  </w:t>
            </w:r>
            <w:r w:rsidR="00850FFB" w:rsidRPr="00850FFB">
              <w:rPr>
                <w:b/>
                <w:bCs/>
                <w:sz w:val="22"/>
                <w:szCs w:val="22"/>
              </w:rPr>
              <w:t>–</w:t>
            </w:r>
            <w:proofErr w:type="gramEnd"/>
            <w:r w:rsidR="00850FFB">
              <w:rPr>
                <w:sz w:val="22"/>
                <w:szCs w:val="22"/>
              </w:rPr>
              <w:t xml:space="preserve"> </w:t>
            </w:r>
            <w:r w:rsidRPr="00432896">
              <w:rPr>
                <w:color w:val="000000"/>
                <w:sz w:val="22"/>
                <w:szCs w:val="22"/>
              </w:rPr>
              <w:t>Benchmark index returns</w:t>
            </w:r>
          </w:p>
        </w:tc>
      </w:tr>
    </w:tbl>
    <w:p w14:paraId="3814FF32" w14:textId="77777777" w:rsidR="00157010" w:rsidRPr="008B787D" w:rsidRDefault="00157010" w:rsidP="00157010">
      <w:pPr>
        <w:jc w:val="both"/>
        <w:rPr>
          <w:b/>
          <w:i/>
          <w:color w:val="1F497D"/>
          <w:sz w:val="22"/>
          <w:szCs w:val="22"/>
        </w:rPr>
      </w:pPr>
    </w:p>
    <w:p w14:paraId="188F0040" w14:textId="77777777" w:rsidR="00157010" w:rsidRPr="00432896" w:rsidRDefault="00157010" w:rsidP="00157010">
      <w:pPr>
        <w:jc w:val="both"/>
        <w:rPr>
          <w:b/>
          <w:color w:val="1F497D"/>
          <w:sz w:val="22"/>
          <w:szCs w:val="22"/>
        </w:rPr>
      </w:pPr>
      <w:r w:rsidRPr="00432896">
        <w:rPr>
          <w:b/>
          <w:color w:val="1F497D"/>
          <w:sz w:val="22"/>
          <w:szCs w:val="22"/>
        </w:rPr>
        <w:t>Note</w:t>
      </w:r>
    </w:p>
    <w:p w14:paraId="41095DFC" w14:textId="77777777" w:rsidR="00157010" w:rsidRPr="00432896" w:rsidRDefault="00157010" w:rsidP="00157010">
      <w:pPr>
        <w:numPr>
          <w:ilvl w:val="0"/>
          <w:numId w:val="14"/>
        </w:numPr>
        <w:spacing w:after="120"/>
        <w:ind w:left="357" w:hanging="357"/>
        <w:jc w:val="both"/>
        <w:rPr>
          <w:sz w:val="22"/>
          <w:szCs w:val="22"/>
        </w:rPr>
      </w:pPr>
      <w:r w:rsidRPr="00432896">
        <w:rPr>
          <w:sz w:val="22"/>
          <w:szCs w:val="22"/>
        </w:rPr>
        <w:t xml:space="preserve">Standard Deviation, Beta and Tracking Error should be </w:t>
      </w:r>
      <w:proofErr w:type="gramStart"/>
      <w:r w:rsidRPr="00432896">
        <w:rPr>
          <w:sz w:val="22"/>
          <w:szCs w:val="22"/>
        </w:rPr>
        <w:t>computed</w:t>
      </w:r>
      <w:proofErr w:type="gramEnd"/>
      <w:r w:rsidRPr="00432896">
        <w:rPr>
          <w:sz w:val="22"/>
          <w:szCs w:val="22"/>
        </w:rPr>
        <w:t xml:space="preserve"> taking similar data points. </w:t>
      </w:r>
    </w:p>
    <w:p w14:paraId="1F675202" w14:textId="77777777" w:rsidR="00157010" w:rsidRPr="00432896" w:rsidRDefault="00157010" w:rsidP="00157010">
      <w:pPr>
        <w:numPr>
          <w:ilvl w:val="0"/>
          <w:numId w:val="14"/>
        </w:numPr>
        <w:spacing w:after="120"/>
        <w:ind w:left="357" w:hanging="357"/>
        <w:jc w:val="both"/>
        <w:rPr>
          <w:sz w:val="22"/>
          <w:szCs w:val="22"/>
        </w:rPr>
      </w:pPr>
      <w:r w:rsidRPr="00432896">
        <w:rPr>
          <w:sz w:val="22"/>
          <w:szCs w:val="22"/>
        </w:rPr>
        <w:t xml:space="preserve">For Schemes that have </w:t>
      </w:r>
      <w:proofErr w:type="gramStart"/>
      <w:r w:rsidRPr="00432896">
        <w:rPr>
          <w:sz w:val="22"/>
          <w:szCs w:val="22"/>
        </w:rPr>
        <w:t>completed</w:t>
      </w:r>
      <w:proofErr w:type="gramEnd"/>
      <w:r w:rsidRPr="00432896">
        <w:rPr>
          <w:sz w:val="22"/>
          <w:szCs w:val="22"/>
        </w:rPr>
        <w:t xml:space="preserve"> 3 years, 3-year data shall be provided; and </w:t>
      </w:r>
      <w:proofErr w:type="gramStart"/>
      <w:r w:rsidRPr="00432896">
        <w:rPr>
          <w:sz w:val="22"/>
          <w:szCs w:val="22"/>
        </w:rPr>
        <w:t>for  Schemes</w:t>
      </w:r>
      <w:proofErr w:type="gramEnd"/>
      <w:r w:rsidRPr="00432896">
        <w:rPr>
          <w:sz w:val="22"/>
          <w:szCs w:val="22"/>
        </w:rPr>
        <w:t xml:space="preserve"> that have </w:t>
      </w:r>
      <w:proofErr w:type="gramStart"/>
      <w:r w:rsidRPr="00432896">
        <w:rPr>
          <w:sz w:val="22"/>
          <w:szCs w:val="22"/>
        </w:rPr>
        <w:t>completed</w:t>
      </w:r>
      <w:proofErr w:type="gramEnd"/>
      <w:r w:rsidRPr="00432896">
        <w:rPr>
          <w:sz w:val="22"/>
          <w:szCs w:val="22"/>
        </w:rPr>
        <w:t xml:space="preserve"> more than 1 year </w:t>
      </w:r>
      <w:proofErr w:type="gramStart"/>
      <w:r w:rsidRPr="00432896">
        <w:rPr>
          <w:sz w:val="22"/>
          <w:szCs w:val="22"/>
        </w:rPr>
        <w:t>but  not</w:t>
      </w:r>
      <w:proofErr w:type="gramEnd"/>
      <w:r w:rsidRPr="00432896">
        <w:rPr>
          <w:sz w:val="22"/>
          <w:szCs w:val="22"/>
        </w:rPr>
        <w:t xml:space="preserve"> completed 3 years1-year data shall be provided. </w:t>
      </w:r>
    </w:p>
    <w:p w14:paraId="59C1D8D0" w14:textId="77777777" w:rsidR="00157010" w:rsidRPr="00432896" w:rsidRDefault="00157010" w:rsidP="00157010">
      <w:pPr>
        <w:numPr>
          <w:ilvl w:val="0"/>
          <w:numId w:val="14"/>
        </w:numPr>
        <w:spacing w:after="120"/>
        <w:ind w:left="357" w:hanging="357"/>
        <w:jc w:val="both"/>
        <w:rPr>
          <w:sz w:val="22"/>
          <w:szCs w:val="22"/>
        </w:rPr>
      </w:pPr>
      <w:r w:rsidRPr="00432896">
        <w:rPr>
          <w:sz w:val="22"/>
          <w:szCs w:val="22"/>
        </w:rPr>
        <w:t>For Fund of Funds and International Equity Funds these measures are not required to be reflected.</w:t>
      </w:r>
    </w:p>
    <w:p w14:paraId="7CA78557" w14:textId="77777777" w:rsidR="00157010" w:rsidRPr="00432896" w:rsidRDefault="00157010" w:rsidP="00157010">
      <w:pPr>
        <w:spacing w:after="200" w:line="276" w:lineRule="auto"/>
        <w:rPr>
          <w:b/>
          <w:sz w:val="22"/>
          <w:szCs w:val="22"/>
          <w:u w:val="single"/>
        </w:rPr>
      </w:pPr>
      <w:r w:rsidRPr="00432896">
        <w:rPr>
          <w:b/>
          <w:sz w:val="22"/>
          <w:szCs w:val="22"/>
          <w:u w:val="single"/>
        </w:rPr>
        <w:br w:type="page"/>
      </w:r>
    </w:p>
    <w:p w14:paraId="41B35C62" w14:textId="6264ACDE" w:rsidR="00157010" w:rsidRPr="0084732D" w:rsidRDefault="00EB0438" w:rsidP="00157010">
      <w:pPr>
        <w:jc w:val="center"/>
        <w:rPr>
          <w:b/>
          <w:sz w:val="28"/>
          <w:szCs w:val="28"/>
          <w:u w:val="single"/>
        </w:rPr>
      </w:pPr>
      <w:r w:rsidRPr="00EB0438">
        <w:rPr>
          <w:b/>
          <w:bCs/>
          <w:sz w:val="28"/>
          <w:szCs w:val="28"/>
          <w:u w:val="single"/>
        </w:rPr>
        <w:lastRenderedPageBreak/>
        <w:t>Annexure</w:t>
      </w:r>
      <w:r w:rsidRPr="00432896">
        <w:rPr>
          <w:b/>
          <w:bCs/>
          <w:sz w:val="28"/>
          <w:szCs w:val="28"/>
        </w:rPr>
        <w:t xml:space="preserve"> </w:t>
      </w:r>
      <w:r w:rsidR="00157010" w:rsidRPr="0084732D">
        <w:rPr>
          <w:b/>
          <w:sz w:val="28"/>
          <w:szCs w:val="28"/>
          <w:u w:val="single"/>
        </w:rPr>
        <w:t>3</w:t>
      </w:r>
    </w:p>
    <w:p w14:paraId="18EBE628" w14:textId="77777777" w:rsidR="00157010" w:rsidRPr="00432896" w:rsidRDefault="00157010" w:rsidP="00157010">
      <w:pPr>
        <w:jc w:val="center"/>
        <w:rPr>
          <w:b/>
          <w:sz w:val="22"/>
          <w:szCs w:val="22"/>
          <w:u w:val="singl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8079"/>
      </w:tblGrid>
      <w:tr w:rsidR="00FF0313" w14:paraId="726592E7" w14:textId="77777777" w:rsidTr="00FF0313">
        <w:trPr>
          <w:trHeight w:val="288"/>
        </w:trPr>
        <w:tc>
          <w:tcPr>
            <w:tcW w:w="1555" w:type="dxa"/>
            <w:noWrap/>
            <w:vAlign w:val="bottom"/>
            <w:hideMark/>
          </w:tcPr>
          <w:p w14:paraId="4424037C" w14:textId="77777777" w:rsidR="00FF0313" w:rsidRDefault="00FF0313" w:rsidP="00FF0313">
            <w:pPr>
              <w:spacing w:after="120"/>
              <w:rPr>
                <w:b/>
                <w:bCs/>
                <w:color w:val="000000"/>
                <w:sz w:val="22"/>
                <w:szCs w:val="22"/>
                <w:lang w:val="en-IN"/>
              </w:rPr>
            </w:pPr>
            <w:r>
              <w:rPr>
                <w:b/>
                <w:bCs/>
                <w:color w:val="000000"/>
                <w:sz w:val="22"/>
                <w:szCs w:val="22"/>
              </w:rPr>
              <w:t>Terminology</w:t>
            </w:r>
          </w:p>
        </w:tc>
        <w:tc>
          <w:tcPr>
            <w:tcW w:w="8079" w:type="dxa"/>
            <w:noWrap/>
            <w:vAlign w:val="bottom"/>
            <w:hideMark/>
          </w:tcPr>
          <w:p w14:paraId="34A67F12" w14:textId="77777777" w:rsidR="00FF0313" w:rsidRDefault="00FF0313" w:rsidP="00FF0313">
            <w:pPr>
              <w:spacing w:after="120"/>
              <w:rPr>
                <w:b/>
                <w:bCs/>
                <w:color w:val="000000"/>
                <w:sz w:val="22"/>
                <w:szCs w:val="22"/>
              </w:rPr>
            </w:pPr>
            <w:r>
              <w:rPr>
                <w:b/>
                <w:bCs/>
                <w:color w:val="000000"/>
                <w:sz w:val="22"/>
                <w:szCs w:val="22"/>
              </w:rPr>
              <w:t>Explanation</w:t>
            </w:r>
          </w:p>
        </w:tc>
      </w:tr>
      <w:tr w:rsidR="00FF0313" w14:paraId="36DF2330" w14:textId="77777777" w:rsidTr="00FF0313">
        <w:trPr>
          <w:trHeight w:val="288"/>
        </w:trPr>
        <w:tc>
          <w:tcPr>
            <w:tcW w:w="1555" w:type="dxa"/>
            <w:noWrap/>
            <w:vAlign w:val="center"/>
            <w:hideMark/>
          </w:tcPr>
          <w:p w14:paraId="3DC19F0E" w14:textId="77777777" w:rsidR="00FF0313" w:rsidRDefault="00FF0313" w:rsidP="00FF0313">
            <w:pPr>
              <w:spacing w:after="120"/>
              <w:rPr>
                <w:b/>
                <w:bCs/>
                <w:color w:val="000000"/>
                <w:sz w:val="22"/>
                <w:szCs w:val="22"/>
              </w:rPr>
            </w:pPr>
            <w:r>
              <w:rPr>
                <w:b/>
                <w:bCs/>
                <w:color w:val="000000"/>
                <w:sz w:val="22"/>
                <w:szCs w:val="22"/>
              </w:rPr>
              <w:t>AUM</w:t>
            </w:r>
          </w:p>
        </w:tc>
        <w:tc>
          <w:tcPr>
            <w:tcW w:w="8079" w:type="dxa"/>
            <w:noWrap/>
            <w:vAlign w:val="center"/>
            <w:hideMark/>
          </w:tcPr>
          <w:p w14:paraId="47FFAEBB" w14:textId="77777777" w:rsidR="00FF0313" w:rsidRDefault="00FF0313" w:rsidP="00FF0313">
            <w:pPr>
              <w:spacing w:after="120"/>
              <w:rPr>
                <w:color w:val="222222"/>
                <w:sz w:val="22"/>
                <w:szCs w:val="22"/>
              </w:rPr>
            </w:pPr>
            <w:r>
              <w:rPr>
                <w:color w:val="222222"/>
                <w:sz w:val="22"/>
                <w:szCs w:val="22"/>
              </w:rPr>
              <w:t xml:space="preserve">AUM or assets under management refers to the recent / updated cumulative market value of investments managed by a mutual fund or any investment firm. </w:t>
            </w:r>
          </w:p>
        </w:tc>
      </w:tr>
      <w:tr w:rsidR="00FF0313" w14:paraId="3A196CC3" w14:textId="77777777" w:rsidTr="00FF0313">
        <w:trPr>
          <w:trHeight w:val="288"/>
        </w:trPr>
        <w:tc>
          <w:tcPr>
            <w:tcW w:w="1555" w:type="dxa"/>
            <w:noWrap/>
            <w:vAlign w:val="center"/>
            <w:hideMark/>
          </w:tcPr>
          <w:p w14:paraId="2955A774" w14:textId="77777777" w:rsidR="00FF0313" w:rsidRDefault="00FF0313" w:rsidP="00FF0313">
            <w:pPr>
              <w:spacing w:after="120"/>
              <w:rPr>
                <w:b/>
                <w:bCs/>
                <w:color w:val="000000"/>
                <w:sz w:val="22"/>
                <w:szCs w:val="22"/>
              </w:rPr>
            </w:pPr>
            <w:r>
              <w:rPr>
                <w:b/>
                <w:bCs/>
                <w:color w:val="000000"/>
                <w:sz w:val="22"/>
                <w:szCs w:val="22"/>
              </w:rPr>
              <w:t>Benchmark Index</w:t>
            </w:r>
          </w:p>
        </w:tc>
        <w:tc>
          <w:tcPr>
            <w:tcW w:w="8079" w:type="dxa"/>
            <w:noWrap/>
            <w:vAlign w:val="center"/>
            <w:hideMark/>
          </w:tcPr>
          <w:p w14:paraId="5605DDC3" w14:textId="326F9984" w:rsidR="00FF0313" w:rsidRDefault="00FF0313" w:rsidP="00850FFB">
            <w:pPr>
              <w:spacing w:after="120"/>
              <w:jc w:val="both"/>
              <w:rPr>
                <w:color w:val="333333"/>
                <w:sz w:val="22"/>
                <w:szCs w:val="22"/>
              </w:rPr>
            </w:pPr>
            <w:r>
              <w:rPr>
                <w:color w:val="333333"/>
                <w:sz w:val="22"/>
                <w:szCs w:val="22"/>
              </w:rPr>
              <w:t xml:space="preserve">A benchmark is often a market index, or </w:t>
            </w:r>
            <w:r w:rsidR="00850FFB">
              <w:rPr>
                <w:color w:val="333333"/>
                <w:sz w:val="22"/>
                <w:szCs w:val="22"/>
              </w:rPr>
              <w:t>a combination</w:t>
            </w:r>
            <w:r>
              <w:rPr>
                <w:color w:val="333333"/>
                <w:sz w:val="22"/>
                <w:szCs w:val="22"/>
              </w:rPr>
              <w:t xml:space="preserve"> of indices that investors and portfolio managers use to measure an investment portfolio’s performance. An index tracks the performance of a broad asset class, such as stocks of companies listed on stock exchanges, whose performance is used as a reference point / standard or benchmark to measure investment performance of mutual funds, among other investments. Some typical benchmarks include the Nifty 50, Sensex, BSE 200, BSE 500, Crisil 10Year Gilt Index. </w:t>
            </w:r>
          </w:p>
        </w:tc>
      </w:tr>
      <w:tr w:rsidR="00FF0313" w14:paraId="70AD644D" w14:textId="77777777" w:rsidTr="00FF0313">
        <w:trPr>
          <w:trHeight w:val="288"/>
        </w:trPr>
        <w:tc>
          <w:tcPr>
            <w:tcW w:w="1555" w:type="dxa"/>
            <w:noWrap/>
            <w:vAlign w:val="center"/>
            <w:hideMark/>
          </w:tcPr>
          <w:p w14:paraId="7C6E5665" w14:textId="77777777" w:rsidR="00FF0313" w:rsidRDefault="00FF0313" w:rsidP="00FF0313">
            <w:pPr>
              <w:spacing w:after="120"/>
              <w:rPr>
                <w:b/>
                <w:bCs/>
                <w:color w:val="000000"/>
                <w:sz w:val="22"/>
                <w:szCs w:val="22"/>
              </w:rPr>
            </w:pPr>
            <w:r>
              <w:rPr>
                <w:b/>
                <w:bCs/>
                <w:color w:val="000000"/>
                <w:sz w:val="22"/>
                <w:szCs w:val="22"/>
              </w:rPr>
              <w:t>Beta</w:t>
            </w:r>
          </w:p>
        </w:tc>
        <w:tc>
          <w:tcPr>
            <w:tcW w:w="8079" w:type="dxa"/>
            <w:noWrap/>
            <w:vAlign w:val="center"/>
            <w:hideMark/>
          </w:tcPr>
          <w:p w14:paraId="2FF54D90" w14:textId="77777777" w:rsidR="00FF0313" w:rsidRDefault="00FF0313" w:rsidP="00850FFB">
            <w:pPr>
              <w:spacing w:after="120"/>
              <w:jc w:val="both"/>
              <w:rPr>
                <w:color w:val="222222"/>
                <w:sz w:val="22"/>
                <w:szCs w:val="22"/>
              </w:rPr>
            </w:pPr>
            <w:r>
              <w:rPr>
                <w:color w:val="222222"/>
                <w:sz w:val="22"/>
                <w:szCs w:val="22"/>
              </w:rPr>
              <w:t xml:space="preserve">Beta is a measure of an investment’s volatility </w:t>
            </w:r>
            <w:proofErr w:type="gramStart"/>
            <w:r>
              <w:rPr>
                <w:color w:val="222222"/>
                <w:sz w:val="22"/>
                <w:szCs w:val="22"/>
              </w:rPr>
              <w:t>vis-à-vis</w:t>
            </w:r>
            <w:proofErr w:type="gramEnd"/>
            <w:r>
              <w:rPr>
                <w:color w:val="222222"/>
                <w:sz w:val="22"/>
                <w:szCs w:val="22"/>
              </w:rPr>
              <w:t xml:space="preserve"> the market. Beta of less than 1 means that the security will be less volatile than the market. A beta of greater than 1 implies that the </w:t>
            </w:r>
            <w:proofErr w:type="gramStart"/>
            <w:r>
              <w:rPr>
                <w:color w:val="222222"/>
                <w:sz w:val="22"/>
                <w:szCs w:val="22"/>
              </w:rPr>
              <w:t>security's</w:t>
            </w:r>
            <w:proofErr w:type="gramEnd"/>
            <w:r>
              <w:rPr>
                <w:color w:val="222222"/>
                <w:sz w:val="22"/>
                <w:szCs w:val="22"/>
              </w:rPr>
              <w:t xml:space="preserve"> price will be more volatile than the market. </w:t>
            </w:r>
          </w:p>
        </w:tc>
      </w:tr>
      <w:tr w:rsidR="00FF0313" w14:paraId="5DF7CFA8" w14:textId="77777777" w:rsidTr="00FF0313">
        <w:trPr>
          <w:trHeight w:val="288"/>
        </w:trPr>
        <w:tc>
          <w:tcPr>
            <w:tcW w:w="1555" w:type="dxa"/>
            <w:noWrap/>
            <w:vAlign w:val="center"/>
            <w:hideMark/>
          </w:tcPr>
          <w:p w14:paraId="46EDD9C1" w14:textId="77777777" w:rsidR="00FF0313" w:rsidRDefault="00FF0313" w:rsidP="00FF0313">
            <w:pPr>
              <w:spacing w:after="120"/>
              <w:rPr>
                <w:b/>
                <w:bCs/>
                <w:color w:val="000000"/>
                <w:sz w:val="22"/>
                <w:szCs w:val="22"/>
              </w:rPr>
            </w:pPr>
            <w:r>
              <w:rPr>
                <w:b/>
                <w:bCs/>
                <w:color w:val="000000"/>
                <w:sz w:val="22"/>
                <w:szCs w:val="22"/>
              </w:rPr>
              <w:t>Exit Load</w:t>
            </w:r>
          </w:p>
        </w:tc>
        <w:tc>
          <w:tcPr>
            <w:tcW w:w="8079" w:type="dxa"/>
            <w:noWrap/>
            <w:vAlign w:val="center"/>
            <w:hideMark/>
          </w:tcPr>
          <w:p w14:paraId="2DC79DA7" w14:textId="7043D527" w:rsidR="00FF0313" w:rsidRDefault="00FF0313" w:rsidP="00850FFB">
            <w:pPr>
              <w:spacing w:after="120"/>
              <w:jc w:val="both"/>
              <w:rPr>
                <w:color w:val="333333"/>
                <w:sz w:val="22"/>
                <w:szCs w:val="22"/>
              </w:rPr>
            </w:pPr>
            <w:r>
              <w:rPr>
                <w:color w:val="333333"/>
                <w:sz w:val="22"/>
                <w:szCs w:val="22"/>
              </w:rPr>
              <w:t xml:space="preserve">Exit load is charged at the time an investor redeems the units of a mutual fund. The exit load is reduced </w:t>
            </w:r>
            <w:r w:rsidR="00850FFB">
              <w:rPr>
                <w:color w:val="333333"/>
                <w:sz w:val="22"/>
                <w:szCs w:val="22"/>
              </w:rPr>
              <w:t>from the</w:t>
            </w:r>
            <w:r>
              <w:rPr>
                <w:color w:val="333333"/>
                <w:sz w:val="22"/>
                <w:szCs w:val="22"/>
              </w:rPr>
              <w:t xml:space="preserve"> prevailing NAV at the time of redemption. The investor will receive redemption proceeds at net value of NAV less Exit load. For </w:t>
            </w:r>
            <w:r w:rsidR="00850FFB">
              <w:rPr>
                <w:color w:val="333333"/>
                <w:sz w:val="22"/>
                <w:szCs w:val="22"/>
              </w:rPr>
              <w:t>example</w:t>
            </w:r>
            <w:r>
              <w:rPr>
                <w:color w:val="333333"/>
                <w:sz w:val="22"/>
                <w:szCs w:val="22"/>
              </w:rPr>
              <w:t>, if the NAV is ₹100 and the exit load is 1%, the investor will receive ₹99 per unit as redemption amount.</w:t>
            </w:r>
          </w:p>
        </w:tc>
      </w:tr>
      <w:tr w:rsidR="00FF0313" w14:paraId="76C0452F" w14:textId="77777777" w:rsidTr="00FF0313">
        <w:trPr>
          <w:trHeight w:val="288"/>
        </w:trPr>
        <w:tc>
          <w:tcPr>
            <w:tcW w:w="1555" w:type="dxa"/>
            <w:noWrap/>
            <w:vAlign w:val="center"/>
            <w:hideMark/>
          </w:tcPr>
          <w:p w14:paraId="06E63E85" w14:textId="77777777" w:rsidR="00FF0313" w:rsidRDefault="00FF0313" w:rsidP="00FF0313">
            <w:pPr>
              <w:spacing w:after="120"/>
              <w:rPr>
                <w:b/>
                <w:bCs/>
                <w:color w:val="000000"/>
                <w:sz w:val="22"/>
                <w:szCs w:val="22"/>
              </w:rPr>
            </w:pPr>
            <w:r>
              <w:rPr>
                <w:b/>
                <w:bCs/>
                <w:color w:val="000000"/>
                <w:sz w:val="22"/>
                <w:szCs w:val="22"/>
              </w:rPr>
              <w:t>Fund Manager</w:t>
            </w:r>
          </w:p>
        </w:tc>
        <w:tc>
          <w:tcPr>
            <w:tcW w:w="8079" w:type="dxa"/>
            <w:noWrap/>
            <w:vAlign w:val="center"/>
            <w:hideMark/>
          </w:tcPr>
          <w:p w14:paraId="49F929AA" w14:textId="77777777" w:rsidR="00FF0313" w:rsidRDefault="00FF0313" w:rsidP="00850FFB">
            <w:pPr>
              <w:spacing w:after="120"/>
              <w:jc w:val="both"/>
              <w:rPr>
                <w:color w:val="222222"/>
                <w:sz w:val="22"/>
                <w:szCs w:val="22"/>
              </w:rPr>
            </w:pPr>
            <w:r>
              <w:rPr>
                <w:color w:val="222222"/>
                <w:sz w:val="22"/>
                <w:szCs w:val="22"/>
              </w:rPr>
              <w:t>An employee of the asset management company, who manages investments of the scheme. She/he is usually part of a larger team of fund managers and research analysts.  </w:t>
            </w:r>
          </w:p>
        </w:tc>
      </w:tr>
      <w:tr w:rsidR="00FF0313" w14:paraId="505B4065" w14:textId="77777777" w:rsidTr="00FF0313">
        <w:trPr>
          <w:trHeight w:val="288"/>
        </w:trPr>
        <w:tc>
          <w:tcPr>
            <w:tcW w:w="1555" w:type="dxa"/>
            <w:noWrap/>
            <w:vAlign w:val="center"/>
            <w:hideMark/>
          </w:tcPr>
          <w:p w14:paraId="492B0187" w14:textId="77777777" w:rsidR="00FF0313" w:rsidRDefault="00FF0313" w:rsidP="00FF0313">
            <w:pPr>
              <w:spacing w:after="120"/>
              <w:rPr>
                <w:b/>
                <w:bCs/>
                <w:color w:val="000000"/>
                <w:sz w:val="22"/>
                <w:szCs w:val="22"/>
              </w:rPr>
            </w:pPr>
            <w:r>
              <w:rPr>
                <w:b/>
                <w:bCs/>
                <w:color w:val="000000"/>
                <w:sz w:val="22"/>
                <w:szCs w:val="22"/>
              </w:rPr>
              <w:t xml:space="preserve">Holdings or Portfolio </w:t>
            </w:r>
          </w:p>
        </w:tc>
        <w:tc>
          <w:tcPr>
            <w:tcW w:w="8079" w:type="dxa"/>
            <w:noWrap/>
            <w:vAlign w:val="center"/>
            <w:hideMark/>
          </w:tcPr>
          <w:p w14:paraId="11E66FCA" w14:textId="77777777" w:rsidR="00FF0313" w:rsidRDefault="00FF0313" w:rsidP="00850FFB">
            <w:pPr>
              <w:spacing w:after="120"/>
              <w:jc w:val="both"/>
              <w:rPr>
                <w:color w:val="333333"/>
                <w:sz w:val="22"/>
                <w:szCs w:val="22"/>
              </w:rPr>
            </w:pPr>
            <w:r>
              <w:rPr>
                <w:color w:val="333333"/>
                <w:sz w:val="22"/>
                <w:szCs w:val="22"/>
              </w:rPr>
              <w:t xml:space="preserve">The holdings or the portfolio is the set of underlying securities in which a mutual fund scheme’s corpus is invested in. The objective is to give investors an idea of where their money has been invested by the fund manager. </w:t>
            </w:r>
          </w:p>
        </w:tc>
      </w:tr>
      <w:tr w:rsidR="00FF0313" w14:paraId="18F1A7E0" w14:textId="77777777" w:rsidTr="00FF0313">
        <w:trPr>
          <w:trHeight w:val="288"/>
        </w:trPr>
        <w:tc>
          <w:tcPr>
            <w:tcW w:w="1555" w:type="dxa"/>
            <w:noWrap/>
            <w:vAlign w:val="center"/>
            <w:hideMark/>
          </w:tcPr>
          <w:p w14:paraId="57C23C61" w14:textId="77777777" w:rsidR="00FF0313" w:rsidRDefault="00FF0313" w:rsidP="00FF0313">
            <w:pPr>
              <w:spacing w:after="120"/>
              <w:jc w:val="both"/>
              <w:rPr>
                <w:b/>
                <w:bCs/>
                <w:color w:val="000000"/>
                <w:sz w:val="22"/>
                <w:szCs w:val="22"/>
              </w:rPr>
            </w:pPr>
            <w:r>
              <w:rPr>
                <w:b/>
                <w:bCs/>
                <w:color w:val="000000"/>
                <w:sz w:val="22"/>
                <w:szCs w:val="22"/>
              </w:rPr>
              <w:t xml:space="preserve">Macaulay Duration </w:t>
            </w:r>
          </w:p>
        </w:tc>
        <w:tc>
          <w:tcPr>
            <w:tcW w:w="8079" w:type="dxa"/>
            <w:noWrap/>
            <w:vAlign w:val="center"/>
            <w:hideMark/>
          </w:tcPr>
          <w:p w14:paraId="51933F56" w14:textId="77777777" w:rsidR="00FF0313" w:rsidRDefault="00FF0313" w:rsidP="00850FFB">
            <w:pPr>
              <w:spacing w:after="120"/>
              <w:jc w:val="both"/>
              <w:rPr>
                <w:color w:val="222222"/>
                <w:sz w:val="22"/>
                <w:szCs w:val="22"/>
              </w:rPr>
            </w:pPr>
            <w:r>
              <w:rPr>
                <w:bCs/>
                <w:iCs/>
                <w:color w:val="222222"/>
                <w:sz w:val="22"/>
                <w:szCs w:val="22"/>
              </w:rPr>
              <w:t xml:space="preserve">Macaulay Duration is a measure of the average time it takes to receive a bond's cash </w:t>
            </w:r>
            <w:proofErr w:type="gramStart"/>
            <w:r>
              <w:rPr>
                <w:bCs/>
                <w:iCs/>
                <w:color w:val="222222"/>
                <w:sz w:val="22"/>
                <w:szCs w:val="22"/>
              </w:rPr>
              <w:t>flows</w:t>
            </w:r>
            <w:proofErr w:type="gramEnd"/>
            <w:r>
              <w:rPr>
                <w:bCs/>
                <w:iCs/>
                <w:color w:val="222222"/>
                <w:sz w:val="22"/>
                <w:szCs w:val="22"/>
              </w:rPr>
              <w:t xml:space="preserve">. It is calculated by summing up all the multiples of the present values of cash </w:t>
            </w:r>
            <w:proofErr w:type="gramStart"/>
            <w:r>
              <w:rPr>
                <w:bCs/>
                <w:iCs/>
                <w:color w:val="222222"/>
                <w:sz w:val="22"/>
                <w:szCs w:val="22"/>
              </w:rPr>
              <w:t>flows</w:t>
            </w:r>
            <w:proofErr w:type="gramEnd"/>
            <w:r>
              <w:rPr>
                <w:bCs/>
                <w:iCs/>
                <w:color w:val="222222"/>
                <w:sz w:val="22"/>
                <w:szCs w:val="22"/>
              </w:rPr>
              <w:t xml:space="preserve"> and corresponding time periods and then dividing the sum by the market bond price. </w:t>
            </w:r>
          </w:p>
        </w:tc>
      </w:tr>
      <w:tr w:rsidR="00FF0313" w14:paraId="5C455919" w14:textId="77777777" w:rsidTr="00FF0313">
        <w:trPr>
          <w:trHeight w:val="288"/>
        </w:trPr>
        <w:tc>
          <w:tcPr>
            <w:tcW w:w="1555" w:type="dxa"/>
            <w:noWrap/>
            <w:vAlign w:val="center"/>
            <w:hideMark/>
          </w:tcPr>
          <w:p w14:paraId="09C209DB" w14:textId="77777777" w:rsidR="00FF0313" w:rsidRDefault="00FF0313" w:rsidP="00FF0313">
            <w:pPr>
              <w:spacing w:after="120"/>
              <w:rPr>
                <w:b/>
                <w:bCs/>
                <w:color w:val="000000"/>
                <w:sz w:val="22"/>
                <w:szCs w:val="22"/>
              </w:rPr>
            </w:pPr>
            <w:r>
              <w:rPr>
                <w:b/>
                <w:bCs/>
                <w:color w:val="000000"/>
                <w:sz w:val="22"/>
                <w:szCs w:val="22"/>
              </w:rPr>
              <w:t xml:space="preserve">Minimum Investment </w:t>
            </w:r>
          </w:p>
        </w:tc>
        <w:tc>
          <w:tcPr>
            <w:tcW w:w="8079" w:type="dxa"/>
            <w:noWrap/>
            <w:vAlign w:val="center"/>
            <w:hideMark/>
          </w:tcPr>
          <w:p w14:paraId="7400C2FD" w14:textId="77777777" w:rsidR="00FF0313" w:rsidRDefault="00FF0313" w:rsidP="00850FFB">
            <w:pPr>
              <w:spacing w:after="120"/>
              <w:jc w:val="both"/>
              <w:rPr>
                <w:color w:val="000000"/>
                <w:sz w:val="22"/>
                <w:szCs w:val="22"/>
              </w:rPr>
            </w:pPr>
            <w:r>
              <w:rPr>
                <w:color w:val="000000"/>
                <w:sz w:val="22"/>
                <w:szCs w:val="22"/>
              </w:rPr>
              <w:t xml:space="preserve">This is the minimum amount which a new investor in a mutual fund scheme is required </w:t>
            </w:r>
            <w:proofErr w:type="gramStart"/>
            <w:r>
              <w:rPr>
                <w:color w:val="000000"/>
                <w:sz w:val="22"/>
                <w:szCs w:val="22"/>
              </w:rPr>
              <w:t>invest</w:t>
            </w:r>
            <w:proofErr w:type="gramEnd"/>
            <w:r>
              <w:rPr>
                <w:color w:val="000000"/>
                <w:sz w:val="22"/>
                <w:szCs w:val="22"/>
              </w:rPr>
              <w:t xml:space="preserve"> while making lumpsum investment for the first time in the scheme.</w:t>
            </w:r>
          </w:p>
        </w:tc>
      </w:tr>
      <w:tr w:rsidR="00FF0313" w14:paraId="54D3CA82" w14:textId="77777777" w:rsidTr="00FF0313">
        <w:trPr>
          <w:trHeight w:val="288"/>
        </w:trPr>
        <w:tc>
          <w:tcPr>
            <w:tcW w:w="1555" w:type="dxa"/>
            <w:noWrap/>
            <w:vAlign w:val="center"/>
            <w:hideMark/>
          </w:tcPr>
          <w:p w14:paraId="6B77F137" w14:textId="77777777" w:rsidR="00FF0313" w:rsidRDefault="00FF0313" w:rsidP="00FF0313">
            <w:pPr>
              <w:spacing w:after="120"/>
              <w:rPr>
                <w:b/>
                <w:bCs/>
                <w:color w:val="000000"/>
                <w:sz w:val="22"/>
                <w:szCs w:val="22"/>
              </w:rPr>
            </w:pPr>
            <w:r>
              <w:rPr>
                <w:b/>
                <w:bCs/>
                <w:color w:val="000000"/>
                <w:sz w:val="22"/>
                <w:szCs w:val="22"/>
              </w:rPr>
              <w:t>Minimum SIP Amount</w:t>
            </w:r>
          </w:p>
        </w:tc>
        <w:tc>
          <w:tcPr>
            <w:tcW w:w="8079" w:type="dxa"/>
            <w:noWrap/>
            <w:vAlign w:val="center"/>
            <w:hideMark/>
          </w:tcPr>
          <w:p w14:paraId="736DC2B7" w14:textId="77777777" w:rsidR="00FF0313" w:rsidRDefault="00FF0313" w:rsidP="00850FFB">
            <w:pPr>
              <w:spacing w:after="120"/>
              <w:jc w:val="both"/>
              <w:rPr>
                <w:color w:val="000000"/>
                <w:sz w:val="22"/>
                <w:szCs w:val="22"/>
              </w:rPr>
            </w:pPr>
            <w:r>
              <w:rPr>
                <w:color w:val="000000"/>
                <w:sz w:val="22"/>
                <w:szCs w:val="22"/>
              </w:rPr>
              <w:t xml:space="preserve">This is the minimum investment instalment amount which an investor is required to make for investing in a mutual fund scheme via Systematic Investment Plan (SIP). </w:t>
            </w:r>
          </w:p>
        </w:tc>
      </w:tr>
      <w:tr w:rsidR="00FF0313" w14:paraId="76F712AA" w14:textId="77777777" w:rsidTr="00FF0313">
        <w:trPr>
          <w:trHeight w:val="288"/>
        </w:trPr>
        <w:tc>
          <w:tcPr>
            <w:tcW w:w="1555" w:type="dxa"/>
            <w:noWrap/>
            <w:vAlign w:val="center"/>
            <w:hideMark/>
          </w:tcPr>
          <w:p w14:paraId="5C0CC9F2" w14:textId="77777777" w:rsidR="00FF0313" w:rsidRDefault="00FF0313" w:rsidP="00FF0313">
            <w:pPr>
              <w:spacing w:after="120"/>
              <w:rPr>
                <w:b/>
                <w:bCs/>
                <w:color w:val="000000"/>
                <w:sz w:val="22"/>
                <w:szCs w:val="22"/>
              </w:rPr>
            </w:pPr>
            <w:r>
              <w:rPr>
                <w:b/>
                <w:bCs/>
                <w:color w:val="000000"/>
                <w:sz w:val="22"/>
                <w:szCs w:val="22"/>
              </w:rPr>
              <w:t>Modified Duration</w:t>
            </w:r>
          </w:p>
        </w:tc>
        <w:tc>
          <w:tcPr>
            <w:tcW w:w="8079" w:type="dxa"/>
            <w:noWrap/>
            <w:vAlign w:val="center"/>
            <w:hideMark/>
          </w:tcPr>
          <w:p w14:paraId="71AC3841" w14:textId="77777777" w:rsidR="00FF0313" w:rsidRDefault="00FF0313" w:rsidP="00FF0313">
            <w:pPr>
              <w:spacing w:after="120"/>
              <w:rPr>
                <w:color w:val="222222"/>
                <w:sz w:val="22"/>
                <w:szCs w:val="22"/>
              </w:rPr>
            </w:pPr>
            <w:r>
              <w:rPr>
                <w:color w:val="222222"/>
                <w:sz w:val="22"/>
                <w:szCs w:val="22"/>
              </w:rPr>
              <w:t xml:space="preserve">Modified duration is the price sensitivity and the percentage change in price for a unit change in yield. </w:t>
            </w:r>
          </w:p>
        </w:tc>
      </w:tr>
      <w:tr w:rsidR="00FF0313" w14:paraId="5D131200" w14:textId="77777777" w:rsidTr="00FF0313">
        <w:trPr>
          <w:trHeight w:val="288"/>
        </w:trPr>
        <w:tc>
          <w:tcPr>
            <w:tcW w:w="1555" w:type="dxa"/>
            <w:noWrap/>
            <w:vAlign w:val="center"/>
            <w:hideMark/>
          </w:tcPr>
          <w:p w14:paraId="7F940A1A" w14:textId="77777777" w:rsidR="00FF0313" w:rsidRDefault="00FF0313" w:rsidP="00FF0313">
            <w:pPr>
              <w:spacing w:after="120"/>
              <w:rPr>
                <w:b/>
                <w:bCs/>
                <w:color w:val="000000"/>
                <w:sz w:val="22"/>
                <w:szCs w:val="22"/>
              </w:rPr>
            </w:pPr>
            <w:r>
              <w:rPr>
                <w:b/>
                <w:bCs/>
                <w:color w:val="000000"/>
                <w:sz w:val="22"/>
                <w:szCs w:val="22"/>
              </w:rPr>
              <w:t xml:space="preserve">NAV </w:t>
            </w:r>
          </w:p>
        </w:tc>
        <w:tc>
          <w:tcPr>
            <w:tcW w:w="8079" w:type="dxa"/>
            <w:noWrap/>
            <w:vAlign w:val="center"/>
            <w:hideMark/>
          </w:tcPr>
          <w:p w14:paraId="6D547B82" w14:textId="77777777" w:rsidR="00FF0313" w:rsidRDefault="00FF0313" w:rsidP="00FF0313">
            <w:pPr>
              <w:spacing w:after="120"/>
              <w:rPr>
                <w:color w:val="333333"/>
                <w:sz w:val="22"/>
                <w:szCs w:val="22"/>
              </w:rPr>
            </w:pPr>
            <w:r>
              <w:rPr>
                <w:color w:val="333333"/>
                <w:sz w:val="22"/>
                <w:szCs w:val="22"/>
              </w:rPr>
              <w:t xml:space="preserve">The NAV or the net asset value is the total asset value per unit of the mutual fund after deducting all related and permissible expenses. The NAV is calculated at the end of every business day. It is the value at which the investor enters or exits the mutual fund. </w:t>
            </w:r>
          </w:p>
        </w:tc>
      </w:tr>
      <w:tr w:rsidR="00FF0313" w14:paraId="7C754789" w14:textId="77777777" w:rsidTr="00FF0313">
        <w:trPr>
          <w:trHeight w:val="288"/>
        </w:trPr>
        <w:tc>
          <w:tcPr>
            <w:tcW w:w="1555" w:type="dxa"/>
            <w:noWrap/>
            <w:vAlign w:val="center"/>
            <w:hideMark/>
          </w:tcPr>
          <w:p w14:paraId="3FA679DE" w14:textId="77777777" w:rsidR="00FF0313" w:rsidRDefault="00FF0313" w:rsidP="00FF0313">
            <w:pPr>
              <w:spacing w:after="120"/>
              <w:rPr>
                <w:b/>
                <w:bCs/>
                <w:color w:val="333333"/>
                <w:sz w:val="22"/>
                <w:szCs w:val="22"/>
              </w:rPr>
            </w:pPr>
            <w:r>
              <w:rPr>
                <w:b/>
                <w:bCs/>
                <w:color w:val="333333"/>
                <w:sz w:val="22"/>
                <w:szCs w:val="22"/>
              </w:rPr>
              <w:t>Rating Profile</w:t>
            </w:r>
          </w:p>
        </w:tc>
        <w:tc>
          <w:tcPr>
            <w:tcW w:w="8079" w:type="dxa"/>
            <w:noWrap/>
            <w:vAlign w:val="center"/>
            <w:hideMark/>
          </w:tcPr>
          <w:p w14:paraId="709E1AC1" w14:textId="77777777" w:rsidR="00FF0313" w:rsidRDefault="00FF0313" w:rsidP="00FF0313">
            <w:pPr>
              <w:spacing w:after="120"/>
              <w:jc w:val="both"/>
              <w:rPr>
                <w:color w:val="333333"/>
                <w:sz w:val="22"/>
                <w:szCs w:val="22"/>
              </w:rPr>
            </w:pPr>
            <w:r>
              <w:rPr>
                <w:color w:val="333333"/>
                <w:sz w:val="22"/>
                <w:szCs w:val="22"/>
              </w:rPr>
              <w:t>Mutual funds invest in securities after evaluating their creditworthiness as disclosed by the ratings. A depiction of the mutual fund in various investments based on their ratings becomes the rating profile of the fund. These ratings are provided by Credit Rating Agencies (CRAs) in India and are based on the maturity of the underlying debt instruments. Short Term Rating are issued by CRA for debt instruments with an original maturity period of up to one year. While Long Term Rating are issued for debt instruments with an original maturity period of one year &amp; above.</w:t>
            </w:r>
          </w:p>
        </w:tc>
      </w:tr>
      <w:tr w:rsidR="00FF0313" w14:paraId="0294674E" w14:textId="77777777" w:rsidTr="00FF0313">
        <w:trPr>
          <w:trHeight w:val="288"/>
        </w:trPr>
        <w:tc>
          <w:tcPr>
            <w:tcW w:w="1555" w:type="dxa"/>
            <w:noWrap/>
            <w:vAlign w:val="center"/>
            <w:hideMark/>
          </w:tcPr>
          <w:p w14:paraId="3A46427D" w14:textId="77777777" w:rsidR="00FF0313" w:rsidRDefault="00FF0313" w:rsidP="00FF0313">
            <w:pPr>
              <w:spacing w:after="120"/>
              <w:rPr>
                <w:b/>
                <w:bCs/>
                <w:color w:val="333333"/>
                <w:sz w:val="22"/>
                <w:szCs w:val="22"/>
              </w:rPr>
            </w:pPr>
            <w:r>
              <w:rPr>
                <w:b/>
                <w:bCs/>
                <w:color w:val="333333"/>
                <w:sz w:val="22"/>
                <w:szCs w:val="22"/>
              </w:rPr>
              <w:t>Scheme Category</w:t>
            </w:r>
          </w:p>
        </w:tc>
        <w:tc>
          <w:tcPr>
            <w:tcW w:w="8079" w:type="dxa"/>
            <w:noWrap/>
            <w:vAlign w:val="center"/>
            <w:hideMark/>
          </w:tcPr>
          <w:p w14:paraId="347188A8" w14:textId="77777777" w:rsidR="00FF0313" w:rsidRDefault="00FF0313" w:rsidP="00850FFB">
            <w:pPr>
              <w:spacing w:after="120"/>
              <w:jc w:val="both"/>
              <w:rPr>
                <w:color w:val="333333"/>
                <w:sz w:val="22"/>
                <w:szCs w:val="22"/>
              </w:rPr>
            </w:pPr>
            <w:r>
              <w:rPr>
                <w:color w:val="333333"/>
                <w:sz w:val="22"/>
                <w:szCs w:val="22"/>
              </w:rPr>
              <w:t xml:space="preserve">A mutual fund scheme category is the classification of mutual fund schemes based on their underlying assets, risk profile, or investment objective, such as Equity, Debt, Hybrid, Thematic/Sectoral schemes, Solution oriented schemes </w:t>
            </w:r>
            <w:proofErr w:type="gramStart"/>
            <w:r>
              <w:rPr>
                <w:color w:val="333333"/>
                <w:sz w:val="22"/>
                <w:szCs w:val="22"/>
              </w:rPr>
              <w:t>and ETFs/</w:t>
            </w:r>
            <w:proofErr w:type="gramEnd"/>
            <w:r>
              <w:rPr>
                <w:color w:val="333333"/>
                <w:sz w:val="22"/>
                <w:szCs w:val="22"/>
              </w:rPr>
              <w:t xml:space="preserve">Index Funds, etc. </w:t>
            </w:r>
          </w:p>
        </w:tc>
      </w:tr>
      <w:tr w:rsidR="00FF0313" w14:paraId="6263107A" w14:textId="77777777" w:rsidTr="00FF0313">
        <w:trPr>
          <w:trHeight w:val="288"/>
        </w:trPr>
        <w:tc>
          <w:tcPr>
            <w:tcW w:w="1555" w:type="dxa"/>
            <w:noWrap/>
            <w:vAlign w:val="center"/>
            <w:hideMark/>
          </w:tcPr>
          <w:p w14:paraId="124BDFC0" w14:textId="77777777" w:rsidR="00FF0313" w:rsidRDefault="00FF0313" w:rsidP="00FF0313">
            <w:pPr>
              <w:spacing w:after="120"/>
              <w:rPr>
                <w:b/>
                <w:bCs/>
                <w:color w:val="000000"/>
                <w:sz w:val="22"/>
                <w:szCs w:val="22"/>
              </w:rPr>
            </w:pPr>
            <w:r>
              <w:rPr>
                <w:b/>
                <w:bCs/>
                <w:color w:val="000000"/>
                <w:sz w:val="22"/>
                <w:szCs w:val="22"/>
              </w:rPr>
              <w:t>Sharpe Ratio</w:t>
            </w:r>
          </w:p>
        </w:tc>
        <w:tc>
          <w:tcPr>
            <w:tcW w:w="8079" w:type="dxa"/>
            <w:noWrap/>
            <w:vAlign w:val="center"/>
            <w:hideMark/>
          </w:tcPr>
          <w:p w14:paraId="03D37603" w14:textId="77777777" w:rsidR="00FF0313" w:rsidRDefault="00FF0313" w:rsidP="00FF0313">
            <w:pPr>
              <w:spacing w:after="120"/>
              <w:rPr>
                <w:color w:val="333333"/>
                <w:sz w:val="22"/>
                <w:szCs w:val="22"/>
              </w:rPr>
            </w:pPr>
            <w:r>
              <w:rPr>
                <w:color w:val="333333"/>
                <w:sz w:val="22"/>
                <w:szCs w:val="22"/>
              </w:rPr>
              <w:t>The Sharpe Ratio, named after its founder, the Nobel Laureate William Sharpe, is a measure of risk-adjusted returns. It is calculated using standard deviation and excess return to determine reward per unit of risk.</w:t>
            </w:r>
          </w:p>
        </w:tc>
      </w:tr>
      <w:tr w:rsidR="00FF0313" w14:paraId="39966AAC" w14:textId="77777777" w:rsidTr="00FF0313">
        <w:trPr>
          <w:trHeight w:val="288"/>
        </w:trPr>
        <w:tc>
          <w:tcPr>
            <w:tcW w:w="1555" w:type="dxa"/>
            <w:noWrap/>
            <w:vAlign w:val="center"/>
            <w:hideMark/>
          </w:tcPr>
          <w:p w14:paraId="0D7C0BCA" w14:textId="77777777" w:rsidR="00FF0313" w:rsidRDefault="00FF0313" w:rsidP="00FF0313">
            <w:pPr>
              <w:spacing w:after="120"/>
              <w:rPr>
                <w:b/>
                <w:bCs/>
                <w:color w:val="000000"/>
                <w:sz w:val="22"/>
                <w:szCs w:val="22"/>
              </w:rPr>
            </w:pPr>
            <w:r>
              <w:rPr>
                <w:b/>
                <w:bCs/>
                <w:color w:val="000000"/>
                <w:sz w:val="22"/>
                <w:szCs w:val="22"/>
              </w:rPr>
              <w:lastRenderedPageBreak/>
              <w:t xml:space="preserve">SIP </w:t>
            </w:r>
          </w:p>
        </w:tc>
        <w:tc>
          <w:tcPr>
            <w:tcW w:w="8079" w:type="dxa"/>
            <w:noWrap/>
            <w:vAlign w:val="center"/>
            <w:hideMark/>
          </w:tcPr>
          <w:p w14:paraId="6ADCF456" w14:textId="34AA5A86" w:rsidR="00FF0313" w:rsidRDefault="00FF0313" w:rsidP="00FF0313">
            <w:pPr>
              <w:spacing w:after="120"/>
              <w:rPr>
                <w:color w:val="333333"/>
                <w:sz w:val="22"/>
                <w:szCs w:val="22"/>
              </w:rPr>
            </w:pPr>
            <w:r>
              <w:rPr>
                <w:color w:val="333333"/>
                <w:sz w:val="22"/>
                <w:szCs w:val="22"/>
              </w:rPr>
              <w:t>SIP or Systematic Investment Plan is a method of investing a fixed amount in a mutual fund scheme at a regular / pre-defined intervals/ frequency (similar to recurring deposit in banks), and can be availed by the investor by giving a mandate (standing instructions) to the  mutual fund to receive the money from the  investor’s bankers to whom the debit mandate is provided by the investor</w:t>
            </w:r>
            <w:r w:rsidR="003D74E7">
              <w:rPr>
                <w:color w:val="333333"/>
                <w:sz w:val="22"/>
                <w:szCs w:val="22"/>
              </w:rPr>
              <w:t xml:space="preserve"> for investing the SIP instalment in the desired mutual fund scheme</w:t>
            </w:r>
            <w:r>
              <w:rPr>
                <w:color w:val="333333"/>
                <w:sz w:val="22"/>
                <w:szCs w:val="22"/>
              </w:rPr>
              <w:t>.</w:t>
            </w:r>
          </w:p>
        </w:tc>
      </w:tr>
      <w:tr w:rsidR="00FF0313" w14:paraId="06B30CDC" w14:textId="77777777" w:rsidTr="00FF0313">
        <w:trPr>
          <w:trHeight w:val="288"/>
        </w:trPr>
        <w:tc>
          <w:tcPr>
            <w:tcW w:w="1555" w:type="dxa"/>
            <w:noWrap/>
            <w:vAlign w:val="center"/>
            <w:hideMark/>
          </w:tcPr>
          <w:p w14:paraId="5A8723D2" w14:textId="77777777" w:rsidR="00FF0313" w:rsidRDefault="00FF0313" w:rsidP="00FF0313">
            <w:pPr>
              <w:spacing w:after="120"/>
              <w:rPr>
                <w:b/>
                <w:bCs/>
                <w:color w:val="000000"/>
                <w:sz w:val="22"/>
                <w:szCs w:val="22"/>
              </w:rPr>
            </w:pPr>
            <w:r>
              <w:rPr>
                <w:b/>
                <w:bCs/>
                <w:color w:val="000000"/>
                <w:sz w:val="22"/>
                <w:szCs w:val="22"/>
              </w:rPr>
              <w:t>Standard Deviation</w:t>
            </w:r>
          </w:p>
        </w:tc>
        <w:tc>
          <w:tcPr>
            <w:tcW w:w="8079" w:type="dxa"/>
            <w:noWrap/>
            <w:vAlign w:val="center"/>
            <w:hideMark/>
          </w:tcPr>
          <w:p w14:paraId="0D76193E" w14:textId="77777777" w:rsidR="00FF0313" w:rsidRDefault="00FF0313" w:rsidP="00FF0313">
            <w:pPr>
              <w:spacing w:after="120"/>
              <w:rPr>
                <w:color w:val="333333"/>
                <w:sz w:val="22"/>
                <w:szCs w:val="22"/>
              </w:rPr>
            </w:pPr>
            <w:r>
              <w:rPr>
                <w:color w:val="333333"/>
                <w:sz w:val="22"/>
                <w:szCs w:val="22"/>
              </w:rPr>
              <w:t xml:space="preserve">Standard deviation is a statistical measure of the range of an investment’s performance. When a mutual fund has a high standard deviation, it means </w:t>
            </w:r>
            <w:proofErr w:type="gramStart"/>
            <w:r>
              <w:rPr>
                <w:color w:val="333333"/>
                <w:sz w:val="22"/>
                <w:szCs w:val="22"/>
              </w:rPr>
              <w:t>it’s</w:t>
            </w:r>
            <w:proofErr w:type="gramEnd"/>
            <w:r>
              <w:rPr>
                <w:color w:val="333333"/>
                <w:sz w:val="22"/>
                <w:szCs w:val="22"/>
              </w:rPr>
              <w:t xml:space="preserve"> range of performance is wide, implying greater volatility.</w:t>
            </w:r>
          </w:p>
        </w:tc>
      </w:tr>
      <w:tr w:rsidR="00FF0313" w14:paraId="7912E9F8" w14:textId="77777777" w:rsidTr="00FF0313">
        <w:trPr>
          <w:trHeight w:val="288"/>
        </w:trPr>
        <w:tc>
          <w:tcPr>
            <w:tcW w:w="1555" w:type="dxa"/>
            <w:noWrap/>
            <w:vAlign w:val="center"/>
            <w:hideMark/>
          </w:tcPr>
          <w:p w14:paraId="1E010347" w14:textId="77777777" w:rsidR="00FF0313" w:rsidRDefault="00FF0313" w:rsidP="00FF0313">
            <w:pPr>
              <w:spacing w:after="120"/>
              <w:rPr>
                <w:b/>
                <w:bCs/>
                <w:color w:val="000000"/>
                <w:sz w:val="22"/>
                <w:szCs w:val="22"/>
              </w:rPr>
            </w:pPr>
            <w:r>
              <w:rPr>
                <w:b/>
                <w:bCs/>
                <w:color w:val="000000"/>
                <w:sz w:val="22"/>
                <w:szCs w:val="22"/>
              </w:rPr>
              <w:t>Tracking Difference</w:t>
            </w:r>
          </w:p>
        </w:tc>
        <w:tc>
          <w:tcPr>
            <w:tcW w:w="8079" w:type="dxa"/>
            <w:noWrap/>
            <w:vAlign w:val="center"/>
            <w:hideMark/>
          </w:tcPr>
          <w:p w14:paraId="27E78CD7" w14:textId="78DF96D5" w:rsidR="00FF0313" w:rsidRDefault="00FF0313" w:rsidP="00FF0313">
            <w:pPr>
              <w:spacing w:after="120"/>
              <w:rPr>
                <w:color w:val="000000"/>
                <w:sz w:val="22"/>
                <w:szCs w:val="22"/>
              </w:rPr>
            </w:pPr>
            <w:r>
              <w:rPr>
                <w:color w:val="000000"/>
                <w:sz w:val="22"/>
                <w:szCs w:val="22"/>
              </w:rPr>
              <w:t xml:space="preserve">Tracking </w:t>
            </w:r>
            <w:r w:rsidR="00850FFB">
              <w:rPr>
                <w:color w:val="000000"/>
                <w:sz w:val="22"/>
                <w:szCs w:val="22"/>
              </w:rPr>
              <w:t>differences,</w:t>
            </w:r>
            <w:r>
              <w:rPr>
                <w:color w:val="000000"/>
                <w:sz w:val="22"/>
                <w:szCs w:val="22"/>
              </w:rPr>
              <w:t xml:space="preserve"> i.e. the annualized difference of daily returns between the index or goods and the NAV of the ETF/ Index</w:t>
            </w:r>
          </w:p>
        </w:tc>
      </w:tr>
      <w:tr w:rsidR="00FF0313" w14:paraId="451D3673" w14:textId="77777777" w:rsidTr="00FF0313">
        <w:trPr>
          <w:trHeight w:val="288"/>
        </w:trPr>
        <w:tc>
          <w:tcPr>
            <w:tcW w:w="1555" w:type="dxa"/>
            <w:noWrap/>
            <w:vAlign w:val="center"/>
            <w:hideMark/>
          </w:tcPr>
          <w:p w14:paraId="65A6D570" w14:textId="77777777" w:rsidR="00FF0313" w:rsidRDefault="00FF0313" w:rsidP="00FF0313">
            <w:pPr>
              <w:spacing w:after="120"/>
              <w:rPr>
                <w:b/>
                <w:bCs/>
                <w:color w:val="000000"/>
                <w:sz w:val="22"/>
                <w:szCs w:val="22"/>
              </w:rPr>
            </w:pPr>
            <w:r>
              <w:rPr>
                <w:b/>
                <w:bCs/>
                <w:color w:val="000000"/>
                <w:sz w:val="22"/>
                <w:szCs w:val="22"/>
              </w:rPr>
              <w:t>Tracking Error</w:t>
            </w:r>
          </w:p>
        </w:tc>
        <w:tc>
          <w:tcPr>
            <w:tcW w:w="8079" w:type="dxa"/>
            <w:noWrap/>
            <w:vAlign w:val="center"/>
            <w:hideMark/>
          </w:tcPr>
          <w:p w14:paraId="4C571DC0" w14:textId="77777777" w:rsidR="00FF0313" w:rsidRDefault="00FF0313" w:rsidP="00FF0313">
            <w:pPr>
              <w:spacing w:after="120"/>
              <w:rPr>
                <w:color w:val="000000"/>
                <w:sz w:val="22"/>
                <w:szCs w:val="22"/>
              </w:rPr>
            </w:pPr>
            <w:r>
              <w:rPr>
                <w:color w:val="000000"/>
                <w:sz w:val="22"/>
                <w:szCs w:val="22"/>
              </w:rPr>
              <w:t>A divergence between the price behavior of a position or a portfolio and the price behavior of the benchmark.</w:t>
            </w:r>
          </w:p>
        </w:tc>
      </w:tr>
      <w:tr w:rsidR="00FF0313" w14:paraId="620FF40F" w14:textId="77777777" w:rsidTr="00FF0313">
        <w:trPr>
          <w:trHeight w:val="288"/>
        </w:trPr>
        <w:tc>
          <w:tcPr>
            <w:tcW w:w="1555" w:type="dxa"/>
            <w:noWrap/>
            <w:vAlign w:val="center"/>
            <w:hideMark/>
          </w:tcPr>
          <w:p w14:paraId="0CBEC29B" w14:textId="77777777" w:rsidR="00FF0313" w:rsidRDefault="00FF0313" w:rsidP="00FF0313">
            <w:pPr>
              <w:spacing w:after="120"/>
              <w:rPr>
                <w:b/>
                <w:bCs/>
                <w:color w:val="000000"/>
                <w:sz w:val="22"/>
                <w:szCs w:val="22"/>
              </w:rPr>
            </w:pPr>
            <w:r>
              <w:rPr>
                <w:b/>
                <w:bCs/>
                <w:color w:val="000000"/>
                <w:sz w:val="22"/>
                <w:szCs w:val="22"/>
              </w:rPr>
              <w:t>Yield to Maturity</w:t>
            </w:r>
          </w:p>
        </w:tc>
        <w:tc>
          <w:tcPr>
            <w:tcW w:w="8079" w:type="dxa"/>
            <w:noWrap/>
            <w:vAlign w:val="center"/>
            <w:hideMark/>
          </w:tcPr>
          <w:p w14:paraId="0D3C6C35" w14:textId="77777777" w:rsidR="00FF0313" w:rsidRDefault="00FF0313" w:rsidP="00FF0313">
            <w:pPr>
              <w:spacing w:after="120"/>
              <w:rPr>
                <w:color w:val="222222"/>
                <w:sz w:val="22"/>
                <w:szCs w:val="22"/>
              </w:rPr>
            </w:pPr>
            <w:r>
              <w:rPr>
                <w:color w:val="222222"/>
                <w:sz w:val="22"/>
                <w:szCs w:val="22"/>
              </w:rPr>
              <w:t>The Yield to Maturity or the YTM is the rate of return anticipated on a bond if held until maturity. YTM is expressed as an annual rate. The YTM factors in the bond's current market price, par value, coupon interest rate and time to maturity.</w:t>
            </w:r>
          </w:p>
        </w:tc>
      </w:tr>
    </w:tbl>
    <w:p w14:paraId="0A477314" w14:textId="77777777" w:rsidR="00157010" w:rsidRPr="00432896" w:rsidRDefault="00157010" w:rsidP="00157010">
      <w:pPr>
        <w:rPr>
          <w:sz w:val="22"/>
          <w:szCs w:val="22"/>
        </w:rPr>
      </w:pPr>
    </w:p>
    <w:p w14:paraId="6CD96F15" w14:textId="77777777" w:rsidR="005864A0" w:rsidRPr="009A5CD6" w:rsidRDefault="005864A0" w:rsidP="009A5CD6">
      <w:pPr>
        <w:ind w:left="360"/>
        <w:jc w:val="both"/>
        <w:rPr>
          <w:rFonts w:ascii="Arial" w:hAnsi="Arial" w:cs="Arial"/>
          <w:sz w:val="22"/>
          <w:szCs w:val="22"/>
        </w:rPr>
      </w:pPr>
    </w:p>
    <w:sectPr w:rsidR="005864A0" w:rsidRPr="009A5CD6" w:rsidSect="00225012">
      <w:pgSz w:w="11906" w:h="16838"/>
      <w:pgMar w:top="851" w:right="1133"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65A7E"/>
    <w:multiLevelType w:val="hybridMultilevel"/>
    <w:tmpl w:val="48F41972"/>
    <w:lvl w:ilvl="0" w:tplc="8B908AEE">
      <w:start w:val="1"/>
      <w:numFmt w:val="decimal"/>
      <w:lvlText w:val="%1."/>
      <w:lvlJc w:val="left"/>
      <w:pPr>
        <w:ind w:left="360" w:hanging="360"/>
      </w:pPr>
      <w:rPr>
        <w:rFonts w:hint="default"/>
        <w:b w:val="0"/>
        <w:bCs w:val="0"/>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 w15:restartNumberingAfterBreak="0">
    <w:nsid w:val="11187E9A"/>
    <w:multiLevelType w:val="hybridMultilevel"/>
    <w:tmpl w:val="0096D036"/>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2" w15:restartNumberingAfterBreak="0">
    <w:nsid w:val="14595A56"/>
    <w:multiLevelType w:val="hybridMultilevel"/>
    <w:tmpl w:val="A7A2A3C8"/>
    <w:lvl w:ilvl="0" w:tplc="4DCACB8E">
      <w:start w:val="1"/>
      <w:numFmt w:val="upperLetter"/>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 w15:restartNumberingAfterBreak="0">
    <w:nsid w:val="22972AF9"/>
    <w:multiLevelType w:val="hybridMultilevel"/>
    <w:tmpl w:val="146E0A6E"/>
    <w:lvl w:ilvl="0" w:tplc="B01EF588">
      <w:start w:val="1"/>
      <w:numFmt w:val="lowerRoman"/>
      <w:lvlText w:val="(%1)"/>
      <w:lvlJc w:val="left"/>
      <w:pPr>
        <w:ind w:left="1440" w:hanging="108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46F5E89"/>
    <w:multiLevelType w:val="hybridMultilevel"/>
    <w:tmpl w:val="D722F340"/>
    <w:lvl w:ilvl="0" w:tplc="69BEF828">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27355914"/>
    <w:multiLevelType w:val="hybridMultilevel"/>
    <w:tmpl w:val="11DA197E"/>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2B911248"/>
    <w:multiLevelType w:val="hybridMultilevel"/>
    <w:tmpl w:val="273A2C96"/>
    <w:lvl w:ilvl="0" w:tplc="40090017">
      <w:start w:val="1"/>
      <w:numFmt w:val="lowerLetter"/>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7" w15:restartNumberingAfterBreak="0">
    <w:nsid w:val="2C9D4FB1"/>
    <w:multiLevelType w:val="hybridMultilevel"/>
    <w:tmpl w:val="EAF095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41C034C2"/>
    <w:multiLevelType w:val="hybridMultilevel"/>
    <w:tmpl w:val="563CA3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216653"/>
    <w:multiLevelType w:val="hybridMultilevel"/>
    <w:tmpl w:val="993AF298"/>
    <w:lvl w:ilvl="0" w:tplc="7040A548">
      <w:start w:val="1"/>
      <w:numFmt w:val="lowerLetter"/>
      <w:lvlText w:val="%1)"/>
      <w:lvlJc w:val="left"/>
      <w:pPr>
        <w:ind w:left="720" w:hanging="360"/>
      </w:pPr>
      <w:rPr>
        <w:rFonts w:hint="default"/>
        <w:b w:val="0"/>
        <w:bCs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71078D3"/>
    <w:multiLevelType w:val="hybridMultilevel"/>
    <w:tmpl w:val="705282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435922"/>
    <w:multiLevelType w:val="hybridMultilevel"/>
    <w:tmpl w:val="7610DB14"/>
    <w:lvl w:ilvl="0" w:tplc="40090017">
      <w:start w:val="1"/>
      <w:numFmt w:val="lowerLetter"/>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5830797F"/>
    <w:multiLevelType w:val="hybridMultilevel"/>
    <w:tmpl w:val="B106A984"/>
    <w:lvl w:ilvl="0" w:tplc="04090003">
      <w:start w:val="1"/>
      <w:numFmt w:val="bullet"/>
      <w:lvlText w:val="o"/>
      <w:lvlJc w:val="left"/>
      <w:pPr>
        <w:ind w:left="1996" w:hanging="360"/>
      </w:pPr>
      <w:rPr>
        <w:rFonts w:ascii="Courier New" w:hAnsi="Courier New" w:cs="Courier New" w:hint="default"/>
      </w:rPr>
    </w:lvl>
    <w:lvl w:ilvl="1" w:tplc="04090003">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13" w15:restartNumberingAfterBreak="0">
    <w:nsid w:val="5A9B3EBE"/>
    <w:multiLevelType w:val="hybridMultilevel"/>
    <w:tmpl w:val="452871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FBD049C"/>
    <w:multiLevelType w:val="hybridMultilevel"/>
    <w:tmpl w:val="E9D89026"/>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5" w15:restartNumberingAfterBreak="0">
    <w:nsid w:val="70FC3F0B"/>
    <w:multiLevelType w:val="hybridMultilevel"/>
    <w:tmpl w:val="DD20AC4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75394CCA"/>
    <w:multiLevelType w:val="multilevel"/>
    <w:tmpl w:val="293A0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F16137"/>
    <w:multiLevelType w:val="hybridMultilevel"/>
    <w:tmpl w:val="B1209C94"/>
    <w:lvl w:ilvl="0" w:tplc="855C9798">
      <w:start w:val="1"/>
      <w:numFmt w:val="lowerRoman"/>
      <w:lvlText w:val="%1)"/>
      <w:lvlJc w:val="left"/>
      <w:pPr>
        <w:ind w:left="1440" w:hanging="360"/>
      </w:pPr>
      <w:rPr>
        <w:rFonts w:ascii="Arial" w:eastAsia="Times New Roman" w:hAnsi="Arial" w:cs="Arial"/>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79102C53"/>
    <w:multiLevelType w:val="hybridMultilevel"/>
    <w:tmpl w:val="86864D84"/>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7B413BA1"/>
    <w:multiLevelType w:val="hybridMultilevel"/>
    <w:tmpl w:val="8D34ACDE"/>
    <w:lvl w:ilvl="0" w:tplc="4009001B">
      <w:start w:val="1"/>
      <w:numFmt w:val="lowerRoman"/>
      <w:lvlText w:val="%1."/>
      <w:lvlJc w:val="righ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0" w15:restartNumberingAfterBreak="0">
    <w:nsid w:val="7B6F2E68"/>
    <w:multiLevelType w:val="hybridMultilevel"/>
    <w:tmpl w:val="8AD0DA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7185541">
    <w:abstractNumId w:val="18"/>
  </w:num>
  <w:num w:numId="2" w16cid:durableId="595677162">
    <w:abstractNumId w:val="15"/>
  </w:num>
  <w:num w:numId="3" w16cid:durableId="22288354">
    <w:abstractNumId w:val="19"/>
  </w:num>
  <w:num w:numId="4" w16cid:durableId="1382436323">
    <w:abstractNumId w:val="17"/>
  </w:num>
  <w:num w:numId="5" w16cid:durableId="88164396">
    <w:abstractNumId w:val="4"/>
  </w:num>
  <w:num w:numId="6" w16cid:durableId="312685664">
    <w:abstractNumId w:val="2"/>
  </w:num>
  <w:num w:numId="7" w16cid:durableId="1770543935">
    <w:abstractNumId w:val="5"/>
  </w:num>
  <w:num w:numId="8" w16cid:durableId="546989024">
    <w:abstractNumId w:val="3"/>
  </w:num>
  <w:num w:numId="9" w16cid:durableId="1728449920">
    <w:abstractNumId w:val="7"/>
  </w:num>
  <w:num w:numId="10" w16cid:durableId="2012489308">
    <w:abstractNumId w:val="20"/>
  </w:num>
  <w:num w:numId="11" w16cid:durableId="1907572213">
    <w:abstractNumId w:val="13"/>
  </w:num>
  <w:num w:numId="12" w16cid:durableId="961964266">
    <w:abstractNumId w:val="8"/>
  </w:num>
  <w:num w:numId="13" w16cid:durableId="66080166">
    <w:abstractNumId w:val="12"/>
  </w:num>
  <w:num w:numId="14" w16cid:durableId="1350139205">
    <w:abstractNumId w:val="10"/>
  </w:num>
  <w:num w:numId="15" w16cid:durableId="1711411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75867516">
    <w:abstractNumId w:val="16"/>
  </w:num>
  <w:num w:numId="17" w16cid:durableId="149374783">
    <w:abstractNumId w:val="14"/>
  </w:num>
  <w:num w:numId="18" w16cid:durableId="1118531223">
    <w:abstractNumId w:val="9"/>
  </w:num>
  <w:num w:numId="19" w16cid:durableId="894722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94883066">
    <w:abstractNumId w:val="0"/>
  </w:num>
  <w:num w:numId="21" w16cid:durableId="15580806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AE4"/>
    <w:rsid w:val="00021871"/>
    <w:rsid w:val="00057D98"/>
    <w:rsid w:val="000E1B73"/>
    <w:rsid w:val="000F2AE5"/>
    <w:rsid w:val="00121C87"/>
    <w:rsid w:val="00157010"/>
    <w:rsid w:val="001D0CA6"/>
    <w:rsid w:val="00225012"/>
    <w:rsid w:val="002756BA"/>
    <w:rsid w:val="00283E56"/>
    <w:rsid w:val="002D7065"/>
    <w:rsid w:val="002F7954"/>
    <w:rsid w:val="003C2820"/>
    <w:rsid w:val="003D74E7"/>
    <w:rsid w:val="004333DB"/>
    <w:rsid w:val="004344D8"/>
    <w:rsid w:val="004B5311"/>
    <w:rsid w:val="0050136B"/>
    <w:rsid w:val="00504B21"/>
    <w:rsid w:val="00517EAB"/>
    <w:rsid w:val="00542B6E"/>
    <w:rsid w:val="00575FF4"/>
    <w:rsid w:val="005864A0"/>
    <w:rsid w:val="005D759A"/>
    <w:rsid w:val="00643260"/>
    <w:rsid w:val="00662798"/>
    <w:rsid w:val="00673AB6"/>
    <w:rsid w:val="006971F3"/>
    <w:rsid w:val="00735522"/>
    <w:rsid w:val="00772200"/>
    <w:rsid w:val="0077423F"/>
    <w:rsid w:val="00795D1F"/>
    <w:rsid w:val="00816883"/>
    <w:rsid w:val="00850FFB"/>
    <w:rsid w:val="00872421"/>
    <w:rsid w:val="008A2A2C"/>
    <w:rsid w:val="00963CD0"/>
    <w:rsid w:val="009952D7"/>
    <w:rsid w:val="009A5CD6"/>
    <w:rsid w:val="009B19F9"/>
    <w:rsid w:val="009D0BE2"/>
    <w:rsid w:val="009D1318"/>
    <w:rsid w:val="009D2CE9"/>
    <w:rsid w:val="009E6547"/>
    <w:rsid w:val="00A1379D"/>
    <w:rsid w:val="00A440C9"/>
    <w:rsid w:val="00A45045"/>
    <w:rsid w:val="00A5216F"/>
    <w:rsid w:val="00BC0107"/>
    <w:rsid w:val="00BC0308"/>
    <w:rsid w:val="00BD4727"/>
    <w:rsid w:val="00BF1DA1"/>
    <w:rsid w:val="00C608C2"/>
    <w:rsid w:val="00C8060F"/>
    <w:rsid w:val="00C811A5"/>
    <w:rsid w:val="00CA1A44"/>
    <w:rsid w:val="00CB3D1F"/>
    <w:rsid w:val="00D15D26"/>
    <w:rsid w:val="00D32D5D"/>
    <w:rsid w:val="00D36FF7"/>
    <w:rsid w:val="00D405B1"/>
    <w:rsid w:val="00D466EA"/>
    <w:rsid w:val="00DC1918"/>
    <w:rsid w:val="00DC3CF8"/>
    <w:rsid w:val="00DF6AE4"/>
    <w:rsid w:val="00E36DBE"/>
    <w:rsid w:val="00E91EBD"/>
    <w:rsid w:val="00E97EC5"/>
    <w:rsid w:val="00EB0438"/>
    <w:rsid w:val="00EC6C34"/>
    <w:rsid w:val="00EC7D81"/>
    <w:rsid w:val="00F429A5"/>
    <w:rsid w:val="00F76A82"/>
    <w:rsid w:val="00FA1731"/>
    <w:rsid w:val="00FC3702"/>
    <w:rsid w:val="00FD38AA"/>
    <w:rsid w:val="00FD3AD6"/>
    <w:rsid w:val="00FD78D7"/>
    <w:rsid w:val="00FF0313"/>
  </w:rsids>
  <m:mathPr>
    <m:mathFont m:val="Cambria Math"/>
    <m:brkBin m:val="before"/>
    <m:brkBinSub m:val="--"/>
    <m:smallFrac m:val="0"/>
    <m:dispDef/>
    <m:lMargin m:val="0"/>
    <m:rMargin m:val="0"/>
    <m:defJc m:val="centerGroup"/>
    <m:wrapIndent m:val="1440"/>
    <m:intLim m:val="subSup"/>
    <m:naryLim m:val="undOvr"/>
  </m:mathPr>
  <w:themeFontLang w:val="en-IN"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F8398"/>
  <w15:chartTrackingRefBased/>
  <w15:docId w15:val="{4955D913-39FE-428B-A8B8-3A1D0D49C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AE4"/>
    <w:pPr>
      <w:spacing w:after="0" w:line="240" w:lineRule="auto"/>
    </w:pPr>
    <w:rPr>
      <w:rFonts w:ascii="Times New Roman" w:eastAsia="Times New Roman" w:hAnsi="Times New Roman" w:cs="Times New Roman"/>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List Paragraph1 Char,Recommendation Char,List Paragraph11 Char,L Char,CV text Char,Table text Char,F5 List Paragraph Char,Dot pt Char,Bullet 1 Char,Numbered Para 1 Char,No Spacing1 Char,List Paragraph Char Char Char Char,3 Char"/>
    <w:link w:val="ListParagraph"/>
    <w:uiPriority w:val="34"/>
    <w:locked/>
    <w:rsid w:val="00DF6AE4"/>
    <w:rPr>
      <w:rFonts w:ascii="Calibri" w:hAnsi="Calibri" w:cs="Calibri"/>
    </w:rPr>
  </w:style>
  <w:style w:type="paragraph" w:styleId="ListParagraph">
    <w:name w:val="List Paragraph"/>
    <w:aliases w:val="List Paragraph1,Recommendation,List Paragraph11,L,CV text,Table text,F5 List Paragraph,Dot pt,Bullet 1,Numbered Para 1,No Spacing1,List Paragraph Char Char Char,Indicator Text,Bullet layer,Issue Action POC,3,POCG Table Text,Bullet Points"/>
    <w:basedOn w:val="Normal"/>
    <w:link w:val="ListParagraphChar"/>
    <w:uiPriority w:val="34"/>
    <w:qFormat/>
    <w:rsid w:val="00DF6AE4"/>
    <w:pPr>
      <w:spacing w:after="200" w:line="276" w:lineRule="atLeast"/>
      <w:ind w:left="720"/>
    </w:pPr>
    <w:rPr>
      <w:rFonts w:ascii="Calibri" w:eastAsiaTheme="minorHAnsi" w:hAnsi="Calibri" w:cs="Calibri"/>
      <w:kern w:val="2"/>
      <w:sz w:val="22"/>
      <w:szCs w:val="22"/>
      <w:lang w:val="en-IN"/>
      <w14:ligatures w14:val="standardContextual"/>
    </w:rPr>
  </w:style>
  <w:style w:type="paragraph" w:customStyle="1" w:styleId="t-1">
    <w:name w:val="t-1"/>
    <w:basedOn w:val="Normal"/>
    <w:uiPriority w:val="99"/>
    <w:rsid w:val="00DF6AE4"/>
    <w:pPr>
      <w:tabs>
        <w:tab w:val="left" w:pos="360"/>
        <w:tab w:val="left" w:pos="720"/>
        <w:tab w:val="left" w:pos="1080"/>
      </w:tabs>
      <w:suppressAutoHyphens/>
      <w:autoSpaceDE w:val="0"/>
      <w:autoSpaceDN w:val="0"/>
      <w:adjustRightInd w:val="0"/>
      <w:spacing w:after="80" w:line="288" w:lineRule="auto"/>
      <w:ind w:left="360" w:hanging="360"/>
      <w:jc w:val="both"/>
      <w:textAlignment w:val="center"/>
    </w:pPr>
    <w:rPr>
      <w:rFonts w:eastAsiaTheme="minorHAnsi"/>
      <w:color w:val="000000"/>
      <w:sz w:val="20"/>
      <w:szCs w:val="20"/>
    </w:rPr>
  </w:style>
  <w:style w:type="paragraph" w:customStyle="1" w:styleId="xxwordsection1">
    <w:name w:val="x_xwordsection1"/>
    <w:basedOn w:val="Normal"/>
    <w:rsid w:val="00121C87"/>
    <w:rPr>
      <w:rFonts w:eastAsiaTheme="minorHAnsi"/>
      <w:lang w:val="en-IN" w:eastAsia="en-IN"/>
    </w:rPr>
  </w:style>
  <w:style w:type="paragraph" w:styleId="Revision">
    <w:name w:val="Revision"/>
    <w:hidden/>
    <w:uiPriority w:val="99"/>
    <w:semiHidden/>
    <w:rsid w:val="00021871"/>
    <w:pPr>
      <w:spacing w:after="0" w:line="240" w:lineRule="auto"/>
    </w:pPr>
    <w:rPr>
      <w:rFonts w:ascii="Times New Roman" w:eastAsia="Times New Roman" w:hAnsi="Times New Roman" w:cs="Times New Roman"/>
      <w:kern w:val="0"/>
      <w:sz w:val="24"/>
      <w:szCs w:val="24"/>
      <w:lang w:val="en-US"/>
      <w14:ligatures w14:val="none"/>
    </w:rPr>
  </w:style>
  <w:style w:type="paragraph" w:customStyle="1" w:styleId="xmsonormal">
    <w:name w:val="xmsonormal"/>
    <w:basedOn w:val="Normal"/>
    <w:rsid w:val="00872421"/>
    <w:pPr>
      <w:spacing w:before="100" w:beforeAutospacing="1" w:after="100" w:afterAutospacing="1"/>
    </w:pPr>
  </w:style>
  <w:style w:type="character" w:customStyle="1" w:styleId="apple-converted-space">
    <w:name w:val="apple-converted-space"/>
    <w:basedOn w:val="DefaultParagraphFont"/>
    <w:rsid w:val="00872421"/>
  </w:style>
  <w:style w:type="paragraph" w:customStyle="1" w:styleId="xt-1">
    <w:name w:val="xt-1"/>
    <w:basedOn w:val="Normal"/>
    <w:rsid w:val="00872421"/>
    <w:pPr>
      <w:spacing w:before="100" w:beforeAutospacing="1" w:after="100" w:afterAutospacing="1"/>
    </w:pPr>
  </w:style>
  <w:style w:type="table" w:styleId="TableGrid">
    <w:name w:val="Table Grid"/>
    <w:basedOn w:val="TableNormal"/>
    <w:uiPriority w:val="59"/>
    <w:rsid w:val="008724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895755">
      <w:bodyDiv w:val="1"/>
      <w:marLeft w:val="0"/>
      <w:marRight w:val="0"/>
      <w:marTop w:val="0"/>
      <w:marBottom w:val="0"/>
      <w:divBdr>
        <w:top w:val="none" w:sz="0" w:space="0" w:color="auto"/>
        <w:left w:val="none" w:sz="0" w:space="0" w:color="auto"/>
        <w:bottom w:val="none" w:sz="0" w:space="0" w:color="auto"/>
        <w:right w:val="none" w:sz="0" w:space="0" w:color="auto"/>
      </w:divBdr>
    </w:div>
    <w:div w:id="678697076">
      <w:bodyDiv w:val="1"/>
      <w:marLeft w:val="0"/>
      <w:marRight w:val="0"/>
      <w:marTop w:val="0"/>
      <w:marBottom w:val="0"/>
      <w:divBdr>
        <w:top w:val="none" w:sz="0" w:space="0" w:color="auto"/>
        <w:left w:val="none" w:sz="0" w:space="0" w:color="auto"/>
        <w:bottom w:val="none" w:sz="0" w:space="0" w:color="auto"/>
        <w:right w:val="none" w:sz="0" w:space="0" w:color="auto"/>
      </w:divBdr>
    </w:div>
    <w:div w:id="708915067">
      <w:bodyDiv w:val="1"/>
      <w:marLeft w:val="0"/>
      <w:marRight w:val="0"/>
      <w:marTop w:val="0"/>
      <w:marBottom w:val="0"/>
      <w:divBdr>
        <w:top w:val="none" w:sz="0" w:space="0" w:color="auto"/>
        <w:left w:val="none" w:sz="0" w:space="0" w:color="auto"/>
        <w:bottom w:val="none" w:sz="0" w:space="0" w:color="auto"/>
        <w:right w:val="none" w:sz="0" w:space="0" w:color="auto"/>
      </w:divBdr>
    </w:div>
    <w:div w:id="1075543870">
      <w:bodyDiv w:val="1"/>
      <w:marLeft w:val="0"/>
      <w:marRight w:val="0"/>
      <w:marTop w:val="0"/>
      <w:marBottom w:val="0"/>
      <w:divBdr>
        <w:top w:val="none" w:sz="0" w:space="0" w:color="auto"/>
        <w:left w:val="none" w:sz="0" w:space="0" w:color="auto"/>
        <w:bottom w:val="none" w:sz="0" w:space="0" w:color="auto"/>
        <w:right w:val="none" w:sz="0" w:space="0" w:color="auto"/>
      </w:divBdr>
    </w:div>
    <w:div w:id="1629310913">
      <w:bodyDiv w:val="1"/>
      <w:marLeft w:val="0"/>
      <w:marRight w:val="0"/>
      <w:marTop w:val="0"/>
      <w:marBottom w:val="0"/>
      <w:divBdr>
        <w:top w:val="none" w:sz="0" w:space="0" w:color="auto"/>
        <w:left w:val="none" w:sz="0" w:space="0" w:color="auto"/>
        <w:bottom w:val="none" w:sz="0" w:space="0" w:color="auto"/>
        <w:right w:val="none" w:sz="0" w:space="0" w:color="auto"/>
      </w:divBdr>
    </w:div>
    <w:div w:id="1863545362">
      <w:bodyDiv w:val="1"/>
      <w:marLeft w:val="0"/>
      <w:marRight w:val="0"/>
      <w:marTop w:val="0"/>
      <w:marBottom w:val="0"/>
      <w:divBdr>
        <w:top w:val="none" w:sz="0" w:space="0" w:color="auto"/>
        <w:left w:val="none" w:sz="0" w:space="0" w:color="auto"/>
        <w:bottom w:val="none" w:sz="0" w:space="0" w:color="auto"/>
        <w:right w:val="none" w:sz="0" w:space="0" w:color="auto"/>
      </w:divBdr>
    </w:div>
    <w:div w:id="1864056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4</Pages>
  <Words>1292</Words>
  <Characters>7369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M. Kini</dc:creator>
  <cp:keywords/>
  <dc:description/>
  <cp:lastModifiedBy>Nitin Sahay</cp:lastModifiedBy>
  <cp:revision>6</cp:revision>
  <dcterms:created xsi:type="dcterms:W3CDTF">2025-01-28T07:18:00Z</dcterms:created>
  <dcterms:modified xsi:type="dcterms:W3CDTF">2026-08-21T09:15:00Z</dcterms:modified>
</cp:coreProperties>
</file>